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方正黑体简体" w:eastAsia="方正黑体简体"/>
          <w:spacing w:val="-2"/>
          <w:sz w:val="32"/>
          <w:szCs w:val="32"/>
        </w:rPr>
      </w:pPr>
    </w:p>
    <w:p>
      <w:pPr>
        <w:jc w:val="left"/>
        <w:rPr>
          <w:rFonts w:ascii="方正黑体简体" w:eastAsia="方正黑体简体"/>
          <w:spacing w:val="-2"/>
          <w:sz w:val="32"/>
          <w:szCs w:val="32"/>
        </w:rPr>
      </w:pPr>
    </w:p>
    <w:p>
      <w:pPr>
        <w:tabs>
          <w:tab w:val="left" w:pos="636"/>
        </w:tabs>
        <w:ind w:firstLine="0" w:firstLineChars="0"/>
        <w:jc w:val="center"/>
        <w:rPr>
          <w:rFonts w:asciiTheme="minorHAnsi" w:hAnsiTheme="minorHAnsi"/>
          <w:b/>
          <w:bCs/>
          <w:sz w:val="36"/>
          <w:szCs w:val="36"/>
        </w:rPr>
      </w:pPr>
      <w:bookmarkStart w:id="0" w:name="_Toc28902"/>
      <w:r>
        <w:rPr>
          <w:rFonts w:hint="eastAsia" w:asciiTheme="minorHAnsi" w:hAnsiTheme="minorHAnsi"/>
          <w:b/>
          <w:bCs/>
          <w:sz w:val="36"/>
          <w:szCs w:val="36"/>
        </w:rPr>
        <w:t>中国出入境检验检疫协会团体标准</w:t>
      </w:r>
      <w:bookmarkEnd w:id="0"/>
    </w:p>
    <w:p>
      <w:pPr>
        <w:tabs>
          <w:tab w:val="left" w:pos="636"/>
        </w:tabs>
        <w:ind w:firstLine="0" w:firstLineChars="0"/>
        <w:jc w:val="center"/>
        <w:rPr>
          <w:rFonts w:asciiTheme="minorHAnsi" w:hAnsiTheme="minorHAnsi"/>
          <w:b/>
          <w:bCs/>
          <w:sz w:val="36"/>
          <w:szCs w:val="36"/>
        </w:rPr>
      </w:pPr>
      <w:bookmarkStart w:id="1" w:name="_Toc30133"/>
      <w:bookmarkStart w:id="2" w:name="_Hlk13575267"/>
      <w:r>
        <w:rPr>
          <w:rFonts w:hint="eastAsia" w:asciiTheme="minorHAnsi" w:hAnsiTheme="minorHAnsi"/>
          <w:b/>
          <w:bCs/>
          <w:sz w:val="36"/>
          <w:szCs w:val="36"/>
        </w:rPr>
        <w:t xml:space="preserve">《工业碳酸钠中氯化物的测定 </w:t>
      </w:r>
      <w:bookmarkStart w:id="3" w:name="_Toc13821"/>
      <w:r>
        <w:rPr>
          <w:rFonts w:hint="eastAsia" w:asciiTheme="minorHAnsi" w:hAnsiTheme="minorHAnsi"/>
          <w:b/>
          <w:bCs/>
          <w:sz w:val="36"/>
          <w:szCs w:val="36"/>
        </w:rPr>
        <w:t>离子选择性电极法</w:t>
      </w:r>
      <w:bookmarkEnd w:id="3"/>
      <w:r>
        <w:rPr>
          <w:rFonts w:hint="eastAsia" w:asciiTheme="minorHAnsi" w:hAnsiTheme="minorHAnsi"/>
          <w:b/>
          <w:bCs/>
          <w:sz w:val="36"/>
          <w:szCs w:val="36"/>
        </w:rPr>
        <w:t>》</w:t>
      </w:r>
      <w:bookmarkEnd w:id="1"/>
    </w:p>
    <w:bookmarkEnd w:id="2"/>
    <w:p>
      <w:pPr>
        <w:ind w:firstLine="1441"/>
        <w:jc w:val="center"/>
        <w:rPr>
          <w:rFonts w:eastAsia="华文中宋"/>
          <w:b/>
          <w:sz w:val="72"/>
          <w:szCs w:val="72"/>
        </w:rPr>
      </w:pPr>
    </w:p>
    <w:p>
      <w:pPr>
        <w:ind w:firstLine="1441"/>
        <w:jc w:val="center"/>
        <w:rPr>
          <w:rFonts w:eastAsia="华文中宋"/>
          <w:b/>
          <w:sz w:val="72"/>
          <w:szCs w:val="72"/>
        </w:rPr>
      </w:pPr>
    </w:p>
    <w:p>
      <w:pPr>
        <w:ind w:firstLine="0" w:firstLineChars="0"/>
        <w:rPr>
          <w:rFonts w:eastAsia="华文中宋"/>
          <w:b/>
          <w:sz w:val="72"/>
          <w:szCs w:val="72"/>
        </w:rPr>
      </w:pPr>
    </w:p>
    <w:p>
      <w:pPr>
        <w:ind w:firstLine="0" w:firstLineChars="0"/>
        <w:jc w:val="center"/>
        <w:rPr>
          <w:rFonts w:ascii="黑体" w:hAnsi="黑体" w:eastAsia="黑体" w:cs="黑体"/>
          <w:b/>
          <w:sz w:val="72"/>
          <w:szCs w:val="72"/>
        </w:rPr>
      </w:pPr>
      <w:r>
        <w:rPr>
          <w:rFonts w:hint="eastAsia" w:asciiTheme="minorHAnsi" w:hAnsiTheme="minorHAnsi"/>
          <w:b/>
          <w:bCs/>
          <w:sz w:val="72"/>
          <w:szCs w:val="72"/>
        </w:rPr>
        <w:t>编制说明</w:t>
      </w:r>
    </w:p>
    <w:p>
      <w:pPr>
        <w:ind w:firstLine="560"/>
        <w:jc w:val="center"/>
        <w:rPr>
          <w:rFonts w:ascii="黑体" w:hAnsi="黑体" w:eastAsia="黑体" w:cs="黑体"/>
          <w:sz w:val="28"/>
          <w:szCs w:val="28"/>
        </w:rPr>
      </w:pPr>
    </w:p>
    <w:p>
      <w:pPr>
        <w:ind w:firstLine="560"/>
        <w:jc w:val="center"/>
        <w:rPr>
          <w:rFonts w:ascii="黑体" w:hAnsi="黑体" w:eastAsia="黑体" w:cs="黑体"/>
          <w:sz w:val="28"/>
          <w:szCs w:val="28"/>
        </w:rPr>
      </w:pPr>
    </w:p>
    <w:p>
      <w:pPr>
        <w:ind w:firstLine="640"/>
        <w:jc w:val="center"/>
        <w:rPr>
          <w:rFonts w:ascii="黑体" w:hAnsi="黑体" w:eastAsia="黑体" w:cs="黑体"/>
          <w:sz w:val="32"/>
          <w:szCs w:val="32"/>
        </w:rPr>
      </w:pPr>
    </w:p>
    <w:p>
      <w:pPr>
        <w:ind w:firstLine="964"/>
        <w:jc w:val="center"/>
        <w:rPr>
          <w:rFonts w:ascii="黑体" w:hAnsi="黑体" w:eastAsia="黑体" w:cs="黑体"/>
          <w:b/>
          <w:sz w:val="48"/>
          <w:szCs w:val="48"/>
        </w:rPr>
      </w:pPr>
    </w:p>
    <w:p>
      <w:pPr>
        <w:ind w:firstLine="964"/>
        <w:jc w:val="center"/>
        <w:rPr>
          <w:rFonts w:ascii="黑体" w:hAnsi="黑体" w:eastAsia="黑体" w:cs="黑体"/>
          <w:b/>
          <w:sz w:val="48"/>
          <w:szCs w:val="48"/>
        </w:rPr>
      </w:pPr>
    </w:p>
    <w:p>
      <w:pPr>
        <w:ind w:firstLine="964"/>
        <w:jc w:val="center"/>
        <w:rPr>
          <w:rFonts w:ascii="黑体" w:hAnsi="黑体" w:eastAsia="黑体" w:cs="黑体"/>
          <w:b/>
          <w:sz w:val="48"/>
          <w:szCs w:val="48"/>
        </w:rPr>
      </w:pPr>
    </w:p>
    <w:p>
      <w:pPr>
        <w:ind w:firstLine="964"/>
        <w:jc w:val="center"/>
        <w:rPr>
          <w:rFonts w:ascii="黑体" w:hAnsi="黑体" w:eastAsia="黑体" w:cs="黑体"/>
          <w:b/>
          <w:sz w:val="48"/>
          <w:szCs w:val="48"/>
        </w:rPr>
      </w:pPr>
    </w:p>
    <w:p>
      <w:pPr>
        <w:ind w:firstLine="964"/>
        <w:jc w:val="center"/>
        <w:rPr>
          <w:rFonts w:ascii="黑体" w:hAnsi="黑体" w:eastAsia="黑体" w:cs="黑体"/>
          <w:b/>
          <w:sz w:val="48"/>
          <w:szCs w:val="48"/>
        </w:rPr>
      </w:pPr>
    </w:p>
    <w:p>
      <w:pPr>
        <w:tabs>
          <w:tab w:val="left" w:pos="636"/>
        </w:tabs>
        <w:ind w:firstLine="0" w:firstLineChars="0"/>
        <w:jc w:val="center"/>
        <w:rPr>
          <w:rFonts w:asciiTheme="minorEastAsia" w:hAnsiTheme="minorEastAsia" w:cstheme="minorEastAsia"/>
          <w:sz w:val="36"/>
          <w:szCs w:val="36"/>
        </w:rPr>
      </w:pPr>
      <w:r>
        <w:rPr>
          <w:rFonts w:hint="eastAsia" w:asciiTheme="minorEastAsia" w:hAnsiTheme="minorEastAsia" w:cstheme="minorEastAsia"/>
          <w:sz w:val="36"/>
          <w:szCs w:val="36"/>
        </w:rPr>
        <w:t>标准编制组</w:t>
      </w:r>
    </w:p>
    <w:p>
      <w:pPr>
        <w:tabs>
          <w:tab w:val="left" w:pos="636"/>
        </w:tabs>
        <w:ind w:firstLine="3240" w:firstLineChars="900"/>
        <w:rPr>
          <w:rFonts w:asciiTheme="minorEastAsia" w:hAnsiTheme="minorEastAsia" w:cstheme="minorEastAsia"/>
          <w:sz w:val="36"/>
          <w:szCs w:val="36"/>
        </w:rPr>
      </w:pPr>
      <w:r>
        <w:rPr>
          <w:rFonts w:hint="eastAsia" w:asciiTheme="minorEastAsia" w:hAnsiTheme="minorEastAsia" w:cstheme="minorEastAsia"/>
          <w:sz w:val="36"/>
          <w:szCs w:val="36"/>
        </w:rPr>
        <w:t>2023年6月</w:t>
      </w:r>
    </w:p>
    <w:p>
      <w:pPr>
        <w:pStyle w:val="11"/>
        <w:ind w:firstLine="480"/>
        <w:rPr>
          <w:kern w:val="0"/>
        </w:rPr>
      </w:pPr>
    </w:p>
    <w:p>
      <w:pPr>
        <w:pStyle w:val="24"/>
        <w:spacing w:line="360" w:lineRule="auto"/>
        <w:ind w:firstLine="0" w:firstLineChars="0"/>
        <w:rPr>
          <w:rFonts w:ascii="黑体" w:hAnsi="黑体" w:eastAsia="黑体" w:cs="黑体"/>
          <w:sz w:val="32"/>
          <w:szCs w:val="32"/>
        </w:rPr>
      </w:pPr>
    </w:p>
    <w:p>
      <w:pPr>
        <w:tabs>
          <w:tab w:val="left" w:pos="636"/>
        </w:tabs>
        <w:ind w:firstLine="0" w:firstLineChars="0"/>
        <w:jc w:val="center"/>
        <w:rPr>
          <w:rFonts w:ascii="黑体" w:hAnsi="黑体" w:eastAsia="黑体" w:cs="黑体"/>
          <w:sz w:val="36"/>
          <w:szCs w:val="36"/>
        </w:rPr>
      </w:pPr>
      <w:bookmarkStart w:id="4" w:name="_Toc30672_WPSOffice_Level1"/>
      <w:r>
        <w:rPr>
          <w:rFonts w:hint="eastAsia" w:ascii="黑体" w:hAnsi="黑体" w:eastAsia="黑体" w:cs="黑体"/>
          <w:sz w:val="36"/>
          <w:szCs w:val="36"/>
        </w:rPr>
        <w:t>《工业碳酸钠中氯化物的测定 离子选择性电极法》</w:t>
      </w:r>
      <w:bookmarkEnd w:id="4"/>
    </w:p>
    <w:p>
      <w:pPr>
        <w:tabs>
          <w:tab w:val="left" w:pos="636"/>
        </w:tabs>
        <w:ind w:firstLine="0" w:firstLineChars="0"/>
        <w:jc w:val="center"/>
        <w:rPr>
          <w:rFonts w:hint="eastAsia" w:ascii="黑体" w:hAnsi="黑体" w:eastAsia="黑体" w:cs="黑体"/>
          <w:sz w:val="36"/>
          <w:szCs w:val="36"/>
        </w:rPr>
      </w:pPr>
      <w:bookmarkStart w:id="5" w:name="_Toc27841"/>
      <w:bookmarkStart w:id="6" w:name="_Toc651_WPSOffice_Level1"/>
      <w:r>
        <w:rPr>
          <w:rFonts w:hint="eastAsia" w:ascii="黑体" w:hAnsi="黑体" w:eastAsia="黑体" w:cs="黑体"/>
          <w:sz w:val="36"/>
          <w:szCs w:val="36"/>
        </w:rPr>
        <w:t>团体标准编制说明</w:t>
      </w:r>
      <w:bookmarkEnd w:id="5"/>
      <w:bookmarkEnd w:id="6"/>
    </w:p>
    <w:p>
      <w:pPr>
        <w:tabs>
          <w:tab w:val="left" w:pos="636"/>
        </w:tabs>
        <w:ind w:firstLine="0" w:firstLineChars="0"/>
        <w:jc w:val="center"/>
        <w:rPr>
          <w:rFonts w:hint="eastAsia" w:ascii="黑体" w:hAnsi="黑体" w:eastAsia="黑体" w:cs="黑体"/>
          <w:sz w:val="36"/>
          <w:szCs w:val="36"/>
        </w:rPr>
      </w:pPr>
    </w:p>
    <w:p>
      <w:pPr>
        <w:pStyle w:val="42"/>
        <w:numPr>
          <w:ilvl w:val="0"/>
          <w:numId w:val="0"/>
        </w:numPr>
        <w:spacing w:before="0" w:after="0" w:line="360" w:lineRule="auto"/>
        <w:outlineLvl w:val="0"/>
        <w:rPr>
          <w:rFonts w:ascii="黑体" w:hAnsi="黑体" w:eastAsia="黑体" w:cs="黑体"/>
          <w:b w:val="0"/>
          <w:szCs w:val="28"/>
        </w:rPr>
      </w:pPr>
      <w:bookmarkStart w:id="7" w:name="_Toc2219"/>
      <w:r>
        <w:rPr>
          <w:rFonts w:hint="eastAsia" w:ascii="黑体" w:hAnsi="黑体" w:eastAsia="黑体" w:cs="黑体"/>
          <w:b w:val="0"/>
          <w:bCs/>
        </w:rPr>
        <w:t>一、</w:t>
      </w:r>
      <w:r>
        <w:rPr>
          <w:rFonts w:hint="eastAsia" w:ascii="黑体" w:hAnsi="黑体" w:eastAsia="黑体" w:cs="黑体"/>
          <w:b w:val="0"/>
          <w:szCs w:val="28"/>
        </w:rPr>
        <w:t>工作简况</w:t>
      </w:r>
      <w:bookmarkEnd w:id="7"/>
    </w:p>
    <w:p>
      <w:pPr>
        <w:tabs>
          <w:tab w:val="left" w:pos="636"/>
        </w:tabs>
        <w:ind w:firstLine="0" w:firstLineChars="0"/>
        <w:rPr>
          <w:rFonts w:ascii="黑体" w:hAnsi="黑体" w:eastAsia="黑体" w:cs="黑体"/>
          <w:szCs w:val="24"/>
        </w:rPr>
      </w:pPr>
      <w:bookmarkStart w:id="8" w:name="_Toc1737"/>
      <w:r>
        <w:rPr>
          <w:rFonts w:hint="eastAsia" w:ascii="黑体" w:hAnsi="黑体" w:eastAsia="黑体" w:cs="黑体"/>
          <w:szCs w:val="24"/>
        </w:rPr>
        <w:t>1.1 任务来源</w:t>
      </w:r>
      <w:bookmarkEnd w:id="8"/>
    </w:p>
    <w:p>
      <w:pPr>
        <w:pStyle w:val="49"/>
        <w:ind w:firstLine="480"/>
        <w:jc w:val="left"/>
        <w:rPr>
          <w:rFonts w:cs="Times New Roman"/>
          <w:bCs/>
          <w:szCs w:val="24"/>
        </w:rPr>
      </w:pPr>
      <w:r>
        <w:rPr>
          <w:rFonts w:cs="Times New Roman"/>
          <w:bCs/>
          <w:szCs w:val="24"/>
        </w:rPr>
        <w:t>按照《中国出入境检验检疫协会团体标准管理法》的规定，经中国出入境检验检疫协会标准化技术委员会审核，同时充分考虑市场及检测需求，中国出入境检验检疫协会(中检协标【2021】34号)文件批准《</w:t>
      </w:r>
      <w:r>
        <w:rPr>
          <w:rFonts w:cs="Times New Roman"/>
          <w:bCs/>
          <w:color w:val="000000" w:themeColor="text1"/>
          <w:szCs w:val="24"/>
          <w14:textFill>
            <w14:solidFill>
              <w14:schemeClr w14:val="tx1"/>
            </w14:solidFill>
          </w14:textFill>
        </w:rPr>
        <w:t>工业碳酸钠中氯化物的测定 离子选择性电极法</w:t>
      </w:r>
      <w:r>
        <w:rPr>
          <w:rFonts w:cs="Times New Roman"/>
          <w:bCs/>
          <w:szCs w:val="24"/>
        </w:rPr>
        <w:t>》团体标准的立项，立项号</w:t>
      </w:r>
      <w:r>
        <w:rPr>
          <w:rFonts w:cs="Times New Roman"/>
          <w:bCs/>
          <w:color w:val="000000" w:themeColor="text1"/>
          <w:szCs w:val="24"/>
          <w14:textFill>
            <w14:solidFill>
              <w14:schemeClr w14:val="tx1"/>
            </w14:solidFill>
          </w14:textFill>
        </w:rPr>
        <w:t>P/CIQA-71-2021</w:t>
      </w:r>
      <w:r>
        <w:rPr>
          <w:rFonts w:cs="Times New Roman"/>
          <w:bCs/>
          <w:szCs w:val="24"/>
        </w:rPr>
        <w:t>。</w:t>
      </w:r>
    </w:p>
    <w:p>
      <w:pPr>
        <w:ind w:firstLine="480"/>
        <w:rPr>
          <w:rFonts w:cs="Times New Roman"/>
          <w:bCs/>
          <w:color w:val="000000" w:themeColor="text1"/>
          <w:szCs w:val="24"/>
          <w14:textFill>
            <w14:solidFill>
              <w14:schemeClr w14:val="tx1"/>
            </w14:solidFill>
          </w14:textFill>
        </w:rPr>
      </w:pPr>
    </w:p>
    <w:p>
      <w:pPr>
        <w:tabs>
          <w:tab w:val="left" w:pos="636"/>
        </w:tabs>
        <w:ind w:firstLine="0" w:firstLineChars="0"/>
        <w:rPr>
          <w:rFonts w:ascii="黑体" w:hAnsi="黑体" w:eastAsia="黑体" w:cs="黑体"/>
          <w:szCs w:val="24"/>
        </w:rPr>
      </w:pPr>
      <w:bookmarkStart w:id="9" w:name="_Toc1742"/>
      <w:r>
        <w:rPr>
          <w:rFonts w:hint="eastAsia" w:ascii="黑体" w:hAnsi="黑体" w:eastAsia="黑体" w:cs="黑体"/>
          <w:szCs w:val="24"/>
        </w:rPr>
        <w:t>1.2 主要工作过程</w:t>
      </w:r>
      <w:bookmarkEnd w:id="9"/>
    </w:p>
    <w:p>
      <w:pPr>
        <w:pStyle w:val="49"/>
        <w:ind w:firstLine="480"/>
        <w:rPr>
          <w:rFonts w:hint="eastAsia" w:cs="Times New Roman"/>
          <w:bCs/>
          <w:color w:val="000000" w:themeColor="text1"/>
          <w:szCs w:val="24"/>
          <w:lang w:eastAsia="zh-CN"/>
          <w14:textFill>
            <w14:solidFill>
              <w14:schemeClr w14:val="tx1"/>
            </w14:solidFill>
          </w14:textFill>
        </w:rPr>
      </w:pPr>
      <w:r>
        <w:rPr>
          <w:rFonts w:cs="Times New Roman"/>
          <w:bCs/>
          <w:color w:val="000000" w:themeColor="text1"/>
          <w:szCs w:val="24"/>
          <w14:textFill>
            <w14:solidFill>
              <w14:schemeClr w14:val="tx1"/>
            </w14:solidFill>
          </w14:textFill>
        </w:rPr>
        <w:t>本标准主要起草单位为中国检验认证集团湖北有限公司、湖北中检检测有限公司。参与单位有</w:t>
      </w:r>
      <w:r>
        <w:rPr>
          <w:rFonts w:hint="eastAsia" w:cs="Times New Roman"/>
          <w:bCs/>
          <w:color w:val="000000" w:themeColor="text1"/>
          <w:szCs w:val="24"/>
          <w14:textFill>
            <w14:solidFill>
              <w14:schemeClr w14:val="tx1"/>
            </w14:solidFill>
          </w14:textFill>
        </w:rPr>
        <w:t>湖北省纤维检验局</w:t>
      </w:r>
      <w:r>
        <w:rPr>
          <w:rFonts w:cs="Times New Roman"/>
          <w:bCs/>
          <w:color w:val="000000" w:themeColor="text1"/>
          <w:szCs w:val="24"/>
          <w14:textFill>
            <w14:solidFill>
              <w14:schemeClr w14:val="tx1"/>
            </w14:solidFill>
          </w14:textFill>
        </w:rPr>
        <w:t>、</w:t>
      </w:r>
      <w:r>
        <w:rPr>
          <w:rFonts w:hint="eastAsia" w:cs="Times New Roman"/>
          <w:bCs/>
          <w:color w:val="000000" w:themeColor="text1"/>
          <w:szCs w:val="24"/>
          <w14:textFill>
            <w14:solidFill>
              <w14:schemeClr w14:val="tx1"/>
            </w14:solidFill>
          </w14:textFill>
        </w:rPr>
        <w:t>武汉海关技术中心仙桃检测实验室</w:t>
      </w:r>
      <w:r>
        <w:rPr>
          <w:rFonts w:cs="Times New Roman"/>
          <w:bCs/>
          <w:color w:val="000000" w:themeColor="text1"/>
          <w:szCs w:val="24"/>
          <w14:textFill>
            <w14:solidFill>
              <w14:schemeClr w14:val="tx1"/>
            </w14:solidFill>
          </w14:textFill>
        </w:rPr>
        <w:t>、</w:t>
      </w:r>
      <w:r>
        <w:rPr>
          <w:rFonts w:hint="eastAsia" w:cs="Times New Roman"/>
          <w:bCs/>
          <w:color w:val="000000" w:themeColor="text1"/>
          <w:szCs w:val="24"/>
          <w14:textFill>
            <w14:solidFill>
              <w14:schemeClr w14:val="tx1"/>
            </w14:solidFill>
          </w14:textFill>
        </w:rPr>
        <w:t>湖北科艾乐检测技术有限公司、中国检验认证集团福建有限公司</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中国国检测试控股集团青岛京诚有限公司</w:t>
      </w:r>
      <w:r>
        <w:rPr>
          <w:rFonts w:cs="Times New Roman"/>
          <w:bCs/>
          <w:color w:val="000000" w:themeColor="text1"/>
          <w:szCs w:val="24"/>
          <w14:textFill>
            <w14:solidFill>
              <w14:schemeClr w14:val="tx1"/>
            </w14:solidFill>
          </w14:textFill>
        </w:rPr>
        <w:t>、</w:t>
      </w:r>
      <w:r>
        <w:rPr>
          <w:rFonts w:hint="eastAsia" w:cs="Times New Roman"/>
          <w:bCs/>
          <w:color w:val="000000" w:themeColor="text1"/>
          <w:szCs w:val="24"/>
          <w14:textFill>
            <w14:solidFill>
              <w14:schemeClr w14:val="tx1"/>
            </w14:solidFill>
          </w14:textFill>
        </w:rPr>
        <w:t>中检（深圳）环境服务有限公司</w:t>
      </w:r>
      <w:r>
        <w:rPr>
          <w:rFonts w:cs="Times New Roman"/>
          <w:bCs/>
          <w:color w:val="000000" w:themeColor="text1"/>
          <w:szCs w:val="24"/>
          <w14:textFill>
            <w14:solidFill>
              <w14:schemeClr w14:val="tx1"/>
            </w14:solidFill>
          </w14:textFill>
        </w:rPr>
        <w:t>、</w:t>
      </w:r>
      <w:r>
        <w:rPr>
          <w:rFonts w:hint="eastAsia" w:cs="Times New Roman"/>
          <w:bCs/>
          <w:color w:val="000000" w:themeColor="text1"/>
          <w:szCs w:val="24"/>
          <w14:textFill>
            <w14:solidFill>
              <w14:schemeClr w14:val="tx1"/>
            </w14:solidFill>
          </w14:textFill>
        </w:rPr>
        <w:t>云南花卉技术培训推广中心分析检测中心</w:t>
      </w:r>
      <w:r>
        <w:rPr>
          <w:rFonts w:hint="eastAsia" w:ascii="宋体" w:hAnsi="宋体"/>
          <w:color w:val="000000" w:themeColor="text1"/>
          <w14:textFill>
            <w14:solidFill>
              <w14:schemeClr w14:val="tx1"/>
            </w14:solidFill>
          </w14:textFill>
        </w:rPr>
        <w:t>。</w:t>
      </w:r>
    </w:p>
    <w:p>
      <w:pPr>
        <w:pStyle w:val="49"/>
        <w:ind w:firstLine="480"/>
        <w:rPr>
          <w:rFonts w:cs="Times New Roman"/>
          <w:bCs/>
          <w:color w:val="000000"/>
          <w:kern w:val="0"/>
          <w:szCs w:val="24"/>
        </w:rPr>
      </w:pPr>
      <w:r>
        <w:rPr>
          <w:rFonts w:cs="Times New Roman"/>
          <w:bCs/>
          <w:color w:val="000000" w:themeColor="text1"/>
          <w:szCs w:val="24"/>
          <w14:textFill>
            <w14:solidFill>
              <w14:schemeClr w14:val="tx1"/>
            </w14:solidFill>
          </w14:textFill>
        </w:rPr>
        <w:t>本标准工作小组主要成员有：</w:t>
      </w:r>
      <w:r>
        <w:rPr>
          <w:rFonts w:hint="eastAsia" w:cs="Times New Roman"/>
          <w:bCs/>
          <w:color w:val="000000" w:themeColor="text1"/>
          <w:szCs w:val="24"/>
          <w14:textFill>
            <w14:solidFill>
              <w14:schemeClr w14:val="tx1"/>
            </w14:solidFill>
          </w14:textFill>
        </w:rPr>
        <w:t>陈魏</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张及亮</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王家珍</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曾蕾</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李智</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潘全</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雷海军</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郭鑫</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朱启超</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佘菲</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余雅芹</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胡小钟</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胡德聪</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14:textFill>
            <w14:solidFill>
              <w14:schemeClr w14:val="tx1"/>
            </w14:solidFill>
          </w14:textFill>
        </w:rPr>
        <w:t>林雁飞</w:t>
      </w:r>
      <w:r>
        <w:rPr>
          <w:rFonts w:hint="eastAsia" w:cs="Times New Roman"/>
          <w:bCs/>
          <w:color w:val="000000" w:themeColor="text1"/>
          <w:szCs w:val="24"/>
          <w:lang w:eastAsia="zh-CN"/>
          <w14:textFill>
            <w14:solidFill>
              <w14:schemeClr w14:val="tx1"/>
            </w14:solidFill>
          </w14:textFill>
        </w:rPr>
        <w:t>、</w:t>
      </w:r>
      <w:r>
        <w:rPr>
          <w:rFonts w:hint="eastAsia" w:cs="Times New Roman"/>
          <w:bCs/>
          <w:color w:val="000000" w:themeColor="text1"/>
          <w:szCs w:val="24"/>
          <w:lang w:val="en-US" w:eastAsia="zh-CN"/>
          <w14:textFill>
            <w14:solidFill>
              <w14:schemeClr w14:val="tx1"/>
            </w14:solidFill>
          </w14:textFill>
        </w:rPr>
        <w:t>宋敏、张雅嫆、娄云鹏、刘锦、陈曦、薛旭、万小蕙、郭少飞、杨志学、郭静、李爽、祁文露、汤义平</w:t>
      </w:r>
      <w:bookmarkStart w:id="17" w:name="_GoBack"/>
      <w:bookmarkEnd w:id="17"/>
      <w:r>
        <w:rPr>
          <w:rFonts w:hint="eastAsia" w:asciiTheme="majorEastAsia" w:hAnsiTheme="majorEastAsia" w:eastAsiaTheme="majorEastAsia" w:cstheme="majorEastAsia"/>
          <w:bCs/>
          <w:color w:val="000000" w:themeColor="text1"/>
          <w:sz w:val="24"/>
          <w:lang w:val="en-US" w:eastAsia="zh-CN"/>
          <w14:textFill>
            <w14:solidFill>
              <w14:schemeClr w14:val="tx1"/>
            </w14:solidFill>
          </w14:textFill>
        </w:rPr>
        <w:t>。</w:t>
      </w:r>
      <w:r>
        <w:rPr>
          <w:rFonts w:cs="Times New Roman"/>
          <w:bCs/>
          <w:color w:val="FF0000"/>
          <w:szCs w:val="24"/>
        </w:rPr>
        <w:t xml:space="preserve">         </w:t>
      </w:r>
    </w:p>
    <w:p>
      <w:pPr>
        <w:ind w:firstLine="480"/>
        <w:rPr>
          <w:rFonts w:cs="Times New Roman"/>
          <w:bCs/>
          <w:color w:val="000000"/>
          <w:kern w:val="0"/>
          <w:szCs w:val="24"/>
        </w:rPr>
      </w:pPr>
      <w:r>
        <w:rPr>
          <w:rFonts w:cs="Times New Roman"/>
          <w:bCs/>
          <w:szCs w:val="24"/>
        </w:rPr>
        <w:t>本标准主要工作过程：</w:t>
      </w:r>
    </w:p>
    <w:p>
      <w:pPr>
        <w:ind w:firstLine="480"/>
        <w:rPr>
          <w:rFonts w:hint="eastAsia" w:cs="Times New Roman" w:eastAsiaTheme="minorEastAsia"/>
          <w:bCs/>
          <w:szCs w:val="24"/>
          <w:lang w:eastAsia="zh-CN"/>
        </w:rPr>
      </w:pPr>
      <w:r>
        <w:rPr>
          <w:rFonts w:cs="Times New Roman"/>
          <w:bCs/>
          <w:szCs w:val="24"/>
        </w:rPr>
        <w:t>2021年1月15日，起草单位提交2021年中国出入境检验检疫协会团体标准立项提案申请书</w:t>
      </w:r>
      <w:r>
        <w:rPr>
          <w:rFonts w:hint="eastAsia" w:cs="Times New Roman"/>
          <w:bCs/>
          <w:szCs w:val="24"/>
          <w:lang w:eastAsia="zh-CN"/>
        </w:rPr>
        <w:t>；</w:t>
      </w:r>
    </w:p>
    <w:p>
      <w:pPr>
        <w:ind w:firstLine="480"/>
        <w:rPr>
          <w:rFonts w:hint="eastAsia" w:cs="Times New Roman" w:eastAsiaTheme="minorEastAsia"/>
          <w:bCs/>
          <w:color w:val="000000"/>
          <w:kern w:val="0"/>
          <w:szCs w:val="24"/>
          <w:lang w:eastAsia="zh-CN"/>
        </w:rPr>
      </w:pPr>
      <w:r>
        <w:rPr>
          <w:rFonts w:cs="Times New Roman"/>
          <w:bCs/>
          <w:szCs w:val="24"/>
        </w:rPr>
        <w:t>2021年4月21日，中国出入境检验检疫协会下达的团体标准《工业碳酸钠中氯化物的测定 离子选择性电极法》立项通知，并成立标准项目工作小组</w:t>
      </w:r>
      <w:r>
        <w:rPr>
          <w:rFonts w:hint="eastAsia" w:cs="Times New Roman"/>
          <w:bCs/>
          <w:szCs w:val="24"/>
          <w:lang w:eastAsia="zh-CN"/>
        </w:rPr>
        <w:t>；</w:t>
      </w:r>
    </w:p>
    <w:p>
      <w:pPr>
        <w:ind w:firstLine="480"/>
        <w:rPr>
          <w:rFonts w:hint="eastAsia" w:cs="Times New Roman" w:eastAsiaTheme="minorEastAsia"/>
          <w:bCs/>
          <w:szCs w:val="24"/>
          <w:lang w:eastAsia="zh-CN"/>
        </w:rPr>
      </w:pPr>
      <w:r>
        <w:rPr>
          <w:rFonts w:cs="Times New Roman"/>
          <w:bCs/>
          <w:szCs w:val="24"/>
        </w:rPr>
        <w:t>2021年5月～8月，完成前期勘验和调研、查新等相关材料的核查</w:t>
      </w:r>
      <w:r>
        <w:rPr>
          <w:rFonts w:hint="eastAsia" w:cs="Times New Roman"/>
          <w:bCs/>
          <w:szCs w:val="24"/>
          <w:lang w:eastAsia="zh-CN"/>
        </w:rPr>
        <w:t>；</w:t>
      </w:r>
    </w:p>
    <w:p>
      <w:pPr>
        <w:ind w:firstLine="480"/>
        <w:rPr>
          <w:rFonts w:hint="eastAsia" w:cs="Times New Roman" w:eastAsiaTheme="minorEastAsia"/>
          <w:bCs/>
          <w:szCs w:val="24"/>
          <w:lang w:eastAsia="zh-CN"/>
        </w:rPr>
      </w:pPr>
      <w:r>
        <w:rPr>
          <w:rFonts w:cs="Times New Roman"/>
          <w:bCs/>
          <w:szCs w:val="24"/>
        </w:rPr>
        <w:t>2021年8月～12月，完成试验用样品的采购和相关实验准备工作</w:t>
      </w:r>
      <w:r>
        <w:rPr>
          <w:rFonts w:hint="eastAsia" w:cs="Times New Roman"/>
          <w:bCs/>
          <w:szCs w:val="24"/>
          <w:lang w:eastAsia="zh-CN"/>
        </w:rPr>
        <w:t>；</w:t>
      </w:r>
    </w:p>
    <w:p>
      <w:pPr>
        <w:ind w:firstLine="480"/>
        <w:rPr>
          <w:rFonts w:hint="eastAsia" w:cs="Times New Roman" w:eastAsiaTheme="minorEastAsia"/>
          <w:bCs/>
          <w:szCs w:val="24"/>
          <w:lang w:eastAsia="zh-CN"/>
        </w:rPr>
      </w:pPr>
      <w:r>
        <w:rPr>
          <w:rFonts w:cs="Times New Roman"/>
          <w:bCs/>
          <w:szCs w:val="24"/>
        </w:rPr>
        <w:t>2022年1月～2023年3月，开展实验研究与验证工作</w:t>
      </w:r>
      <w:r>
        <w:rPr>
          <w:rFonts w:hint="eastAsia" w:cs="Times New Roman"/>
          <w:bCs/>
          <w:szCs w:val="24"/>
          <w:lang w:eastAsia="zh-CN"/>
        </w:rPr>
        <w:t>；</w:t>
      </w:r>
    </w:p>
    <w:p>
      <w:pPr>
        <w:ind w:firstLine="480"/>
        <w:rPr>
          <w:rFonts w:hint="eastAsia" w:cs="Times New Roman" w:eastAsiaTheme="minorEastAsia"/>
          <w:bCs/>
          <w:szCs w:val="24"/>
          <w:lang w:eastAsia="zh-CN"/>
        </w:rPr>
      </w:pPr>
      <w:r>
        <w:rPr>
          <w:rFonts w:cs="Times New Roman"/>
          <w:bCs/>
          <w:szCs w:val="24"/>
        </w:rPr>
        <w:t>2023年</w:t>
      </w:r>
      <w:r>
        <w:rPr>
          <w:rFonts w:hint="eastAsia" w:cs="Times New Roman"/>
          <w:bCs/>
          <w:szCs w:val="24"/>
          <w:lang w:val="en-US" w:eastAsia="zh-CN"/>
        </w:rPr>
        <w:t>4</w:t>
      </w:r>
      <w:r>
        <w:rPr>
          <w:rFonts w:cs="Times New Roman"/>
          <w:bCs/>
          <w:szCs w:val="24"/>
        </w:rPr>
        <w:t>～6月，同外部单位实验室协作验证和结果的统计</w:t>
      </w:r>
      <w:r>
        <w:rPr>
          <w:rFonts w:hint="eastAsia" w:cs="Times New Roman"/>
          <w:bCs/>
          <w:szCs w:val="24"/>
          <w:lang w:eastAsia="zh-CN"/>
        </w:rPr>
        <w:t>；</w:t>
      </w:r>
    </w:p>
    <w:p>
      <w:pPr>
        <w:ind w:firstLine="480"/>
        <w:rPr>
          <w:rFonts w:hint="eastAsia" w:cs="Times New Roman" w:eastAsiaTheme="minorEastAsia"/>
          <w:bCs/>
          <w:szCs w:val="24"/>
          <w:lang w:eastAsia="zh-CN"/>
        </w:rPr>
      </w:pPr>
      <w:r>
        <w:rPr>
          <w:rFonts w:cs="Times New Roman"/>
          <w:bCs/>
          <w:szCs w:val="24"/>
        </w:rPr>
        <w:t>2023年6月，完成编写标准草案初稿，以及编制说明</w:t>
      </w:r>
      <w:r>
        <w:rPr>
          <w:rFonts w:hint="eastAsia" w:cs="Times New Roman"/>
          <w:bCs/>
          <w:szCs w:val="24"/>
          <w:lang w:eastAsia="zh-CN"/>
        </w:rPr>
        <w:t>；</w:t>
      </w:r>
    </w:p>
    <w:p>
      <w:pPr>
        <w:ind w:firstLine="480"/>
        <w:rPr>
          <w:rFonts w:cs="Times New Roman"/>
          <w:bCs/>
          <w:szCs w:val="24"/>
        </w:rPr>
      </w:pPr>
      <w:r>
        <w:rPr>
          <w:rFonts w:cs="Times New Roman"/>
          <w:bCs/>
          <w:szCs w:val="24"/>
        </w:rPr>
        <w:t>2023年7～8月，向各参与单位及相关领域专家征求意见并对标准草案逐字逐句讨论修改。对202</w:t>
      </w:r>
      <w:r>
        <w:rPr>
          <w:rFonts w:hint="eastAsia" w:cs="Times New Roman"/>
          <w:bCs/>
          <w:szCs w:val="24"/>
          <w:lang w:val="en-US" w:eastAsia="zh-CN"/>
        </w:rPr>
        <w:t>3</w:t>
      </w:r>
      <w:r>
        <w:rPr>
          <w:rFonts w:cs="Times New Roman"/>
          <w:bCs/>
          <w:szCs w:val="24"/>
        </w:rPr>
        <w:t>年8月修改后的最终稿作为最后标准征求意见稿上报中国出入境检验检疫协会技术委员会秘书处。</w:t>
      </w:r>
    </w:p>
    <w:p>
      <w:pPr>
        <w:tabs>
          <w:tab w:val="left" w:pos="636"/>
        </w:tabs>
        <w:ind w:firstLine="0" w:firstLineChars="0"/>
        <w:rPr>
          <w:rFonts w:ascii="黑体" w:hAnsi="黑体" w:eastAsia="黑体" w:cs="黑体"/>
          <w:szCs w:val="24"/>
        </w:rPr>
      </w:pPr>
      <w:r>
        <w:rPr>
          <w:rFonts w:hint="eastAsia" w:ascii="黑体" w:hAnsi="黑体" w:eastAsia="黑体" w:cs="黑体"/>
          <w:szCs w:val="24"/>
        </w:rPr>
        <w:t>1.3 标准编写原则与格式</w:t>
      </w:r>
    </w:p>
    <w:p>
      <w:pPr>
        <w:pStyle w:val="49"/>
        <w:ind w:firstLine="480"/>
        <w:rPr>
          <w:rFonts w:cs="Times New Roman"/>
          <w:bCs/>
          <w:color w:val="000000" w:themeColor="text1"/>
          <w14:textFill>
            <w14:solidFill>
              <w14:schemeClr w14:val="tx1"/>
            </w14:solidFill>
          </w14:textFill>
        </w:rPr>
      </w:pPr>
      <w:r>
        <w:rPr>
          <w:rFonts w:cs="Times New Roman"/>
          <w:bCs/>
          <w:color w:val="000000" w:themeColor="text1"/>
          <w14:textFill>
            <w14:solidFill>
              <w14:schemeClr w14:val="tx1"/>
            </w14:solidFill>
          </w14:textFill>
        </w:rPr>
        <w:t>本标准是根据GB/T 1.1-2020《标准化工作导则 第1部分：标准化文件的结构和起草规则》和GB/T 20001.4-2015《标准编写规则 第4部分：试验方法标准》的要求进行编写的。</w:t>
      </w:r>
    </w:p>
    <w:p>
      <w:pPr>
        <w:ind w:firstLine="480"/>
        <w:rPr>
          <w:rFonts w:cs="Times New Roman"/>
          <w:bCs/>
          <w:szCs w:val="24"/>
        </w:rPr>
      </w:pPr>
    </w:p>
    <w:p>
      <w:pPr>
        <w:tabs>
          <w:tab w:val="left" w:pos="636"/>
        </w:tabs>
        <w:ind w:firstLine="0" w:firstLineChars="0"/>
        <w:rPr>
          <w:rFonts w:ascii="黑体" w:hAnsi="黑体" w:eastAsia="黑体" w:cs="黑体"/>
          <w:szCs w:val="24"/>
        </w:rPr>
      </w:pPr>
      <w:r>
        <w:rPr>
          <w:rFonts w:hint="eastAsia" w:ascii="黑体" w:hAnsi="黑体" w:eastAsia="黑体" w:cs="黑体"/>
          <w:szCs w:val="24"/>
        </w:rPr>
        <w:t>1.4 标准编写的目的与意义</w:t>
      </w:r>
    </w:p>
    <w:p>
      <w:pPr>
        <w:ind w:firstLine="480"/>
        <w:rPr>
          <w:rFonts w:cs="Times New Roman"/>
          <w:bCs/>
          <w:color w:val="000000"/>
          <w:szCs w:val="24"/>
        </w:rPr>
      </w:pPr>
      <w:r>
        <w:rPr>
          <w:rFonts w:cs="Times New Roman"/>
          <w:bCs/>
          <w:color w:val="000000"/>
          <w:szCs w:val="24"/>
        </w:rPr>
        <w:t>工业碳酸钠（Na</w:t>
      </w:r>
      <w:r>
        <w:rPr>
          <w:rFonts w:cs="Times New Roman"/>
          <w:bCs/>
          <w:color w:val="000000"/>
          <w:szCs w:val="24"/>
          <w:vertAlign w:val="subscript"/>
        </w:rPr>
        <w:t>2</w:t>
      </w:r>
      <w:r>
        <w:rPr>
          <w:rFonts w:cs="Times New Roman"/>
          <w:bCs/>
          <w:color w:val="000000"/>
          <w:szCs w:val="24"/>
        </w:rPr>
        <w:t>CO</w:t>
      </w:r>
      <w:r>
        <w:rPr>
          <w:rFonts w:cs="Times New Roman"/>
          <w:bCs/>
          <w:color w:val="000000"/>
          <w:szCs w:val="24"/>
          <w:vertAlign w:val="subscript"/>
        </w:rPr>
        <w:t>3</w:t>
      </w:r>
      <w:r>
        <w:rPr>
          <w:rFonts w:cs="Times New Roman"/>
          <w:bCs/>
          <w:color w:val="000000"/>
          <w:szCs w:val="24"/>
        </w:rPr>
        <w:t>），又称为纯碱，国际贸易中又名苏打或碱灰。工业碳酸钠是用于玻璃、肥皂、清洁剂、纸张等产品制造的重要化工原料。氯化钠是碳酸钠的主要杂质之一，主要是由于</w:t>
      </w:r>
      <w:r>
        <w:rPr>
          <w:rFonts w:cs="Times New Roman"/>
          <w:color w:val="24292F"/>
          <w:szCs w:val="24"/>
          <w:shd w:val="clear" w:color="auto" w:fill="FFFFFF"/>
        </w:rPr>
        <w:t>原始的天然碱石中通常会含有一定量的氯化物</w:t>
      </w:r>
      <w:r>
        <w:rPr>
          <w:rFonts w:cs="Times New Roman"/>
          <w:bCs/>
          <w:color w:val="000000"/>
          <w:szCs w:val="24"/>
        </w:rPr>
        <w:t>（以氯化钠计），</w:t>
      </w:r>
      <w:r>
        <w:rPr>
          <w:rFonts w:cs="Times New Roman"/>
          <w:color w:val="24292F"/>
          <w:szCs w:val="24"/>
          <w:shd w:val="clear" w:color="auto" w:fill="FFFFFF"/>
        </w:rPr>
        <w:t>这些氯化物如果不能被有效地去除，将会对生产产生不良影响。首先，氯化物会影响生产的产量。因为氯化物在高温下将会形成氯化钠，这会导致在产生碳酸钠的过程中，碳酸钠的含量降低，从而影响产量。其次，氯化物还会对产品质量产生影响。</w:t>
      </w:r>
      <w:r>
        <w:rPr>
          <w:rFonts w:cs="Times New Roman"/>
          <w:bCs/>
          <w:color w:val="000000"/>
          <w:szCs w:val="24"/>
        </w:rPr>
        <w:t>氯化钠是高强度离子晶体，其熔点和沸点分别达到800℃和1 413℃，</w:t>
      </w:r>
      <w:r>
        <w:rPr>
          <w:rFonts w:hint="eastAsia" w:cs="Times New Roman"/>
          <w:bCs/>
          <w:color w:val="000000"/>
          <w:szCs w:val="24"/>
        </w:rPr>
        <w:t>如果含量太高，将会导致生产出来的碳酸钠含有较高的杂质，从而降低产品的质量，用于制造玻璃会影响玻璃的熔融反应过程，甚至还有可能引发贸易争端。</w:t>
      </w:r>
      <w:r>
        <w:rPr>
          <w:rFonts w:cs="Times New Roman"/>
          <w:bCs/>
          <w:color w:val="000000"/>
          <w:szCs w:val="24"/>
        </w:rPr>
        <w:t>因此，</w:t>
      </w:r>
      <w:r>
        <w:rPr>
          <w:rFonts w:cs="Times New Roman"/>
          <w:color w:val="24292F"/>
          <w:szCs w:val="24"/>
          <w:shd w:val="clear" w:color="auto" w:fill="FFFFFF"/>
        </w:rPr>
        <w:t>在工业生产中，</w:t>
      </w:r>
      <w:r>
        <w:rPr>
          <w:rFonts w:hint="eastAsia" w:cs="Times New Roman"/>
          <w:color w:val="24292F"/>
          <w:szCs w:val="24"/>
          <w:shd w:val="clear" w:color="auto" w:fill="FFFFFF"/>
        </w:rPr>
        <w:t>必须</w:t>
      </w:r>
      <w:r>
        <w:rPr>
          <w:rFonts w:cs="Times New Roman"/>
          <w:color w:val="24292F"/>
          <w:szCs w:val="24"/>
          <w:shd w:val="clear" w:color="auto" w:fill="FFFFFF"/>
        </w:rPr>
        <w:t>准确测定碳酸钠中的氯化物含量，并进行严格控制，以保证产品的质量和产量。</w:t>
      </w:r>
      <w:r>
        <w:rPr>
          <w:rFonts w:cs="Times New Roman"/>
          <w:bCs/>
          <w:color w:val="000000"/>
          <w:szCs w:val="24"/>
        </w:rPr>
        <w:t>为了更加高效、准确、安全地测定碳酸钠中氯化物的含量，也为了提高工业碳酸钠产品质量和生产效益、提升我国在纯碱国际贸易中的竞争力，特制定本标准。</w:t>
      </w:r>
    </w:p>
    <w:p>
      <w:pPr>
        <w:ind w:firstLine="480"/>
        <w:rPr>
          <w:rFonts w:cs="Times New Roman"/>
          <w:bCs/>
          <w:color w:val="000000"/>
          <w:szCs w:val="24"/>
        </w:rPr>
      </w:pPr>
    </w:p>
    <w:p>
      <w:pPr>
        <w:tabs>
          <w:tab w:val="left" w:pos="636"/>
        </w:tabs>
        <w:ind w:firstLine="0" w:firstLineChars="0"/>
        <w:rPr>
          <w:rFonts w:ascii="黑体" w:hAnsi="黑体" w:eastAsia="黑体" w:cs="黑体"/>
          <w:szCs w:val="24"/>
        </w:rPr>
      </w:pPr>
      <w:r>
        <w:rPr>
          <w:rFonts w:hint="eastAsia" w:ascii="黑体" w:hAnsi="黑体" w:eastAsia="黑体" w:cs="黑体"/>
          <w:szCs w:val="24"/>
        </w:rPr>
        <w:t>1.5 国内相关分析方法和文献资料研究</w:t>
      </w:r>
    </w:p>
    <w:p>
      <w:pPr>
        <w:ind w:firstLine="480"/>
        <w:rPr>
          <w:rFonts w:cs="Times New Roman"/>
          <w:color w:val="24292F"/>
          <w:szCs w:val="24"/>
          <w:shd w:val="clear" w:color="auto" w:fill="FFFFFF"/>
        </w:rPr>
      </w:pPr>
      <w:r>
        <w:rPr>
          <w:rFonts w:cs="Times New Roman"/>
          <w:color w:val="24292F"/>
          <w:szCs w:val="24"/>
          <w:shd w:val="clear" w:color="auto" w:fill="FFFFFF"/>
        </w:rPr>
        <w:t>国内外标准对纯碱中氯化物的含量都进行了明确的限制，并制定了相关的质量标准，这些标准对准确测定纯碱中氯化物起到了至关重要的作用。以国内标准为</w:t>
      </w:r>
      <w:r>
        <w:rPr>
          <w:rFonts w:cs="Times New Roman"/>
          <w:szCs w:val="24"/>
        </w:rPr>
        <w:t>例，</w:t>
      </w:r>
      <w:r>
        <w:rPr>
          <w:rFonts w:cs="Times New Roman"/>
          <w:bCs/>
          <w:szCs w:val="24"/>
        </w:rPr>
        <w:t>GB/T 210-2022《工业碳酸钠》中就明确规定了不同等级工业碳酸钠中氯化物的限量</w:t>
      </w:r>
      <w:r>
        <w:rPr>
          <w:rFonts w:hint="eastAsia" w:cs="Times New Roman"/>
          <w:bCs/>
          <w:szCs w:val="24"/>
        </w:rPr>
        <w:t>，见表1。</w:t>
      </w:r>
      <w:r>
        <w:rPr>
          <w:rFonts w:cs="Times New Roman"/>
          <w:szCs w:val="24"/>
        </w:rPr>
        <w:t>除了国内标准外，国际上的相关标准也有类似规定。例如，</w:t>
      </w:r>
      <w:r>
        <w:rPr>
          <w:rFonts w:hint="eastAsia" w:cs="Times New Roman"/>
          <w:szCs w:val="24"/>
        </w:rPr>
        <w:t>德国标准TGL 8124、英国标准BS 3674、日本标准JISK 1201、美国标准ANSIPH 4227中都明确规定了工业碳酸钠</w:t>
      </w:r>
      <w:r>
        <w:rPr>
          <w:rFonts w:cs="Times New Roman"/>
          <w:szCs w:val="24"/>
        </w:rPr>
        <w:t>中氯化物的</w:t>
      </w:r>
      <w:r>
        <w:rPr>
          <w:rFonts w:hint="eastAsia" w:cs="Times New Roman"/>
          <w:szCs w:val="24"/>
        </w:rPr>
        <w:t>限量，均不得超过0.4%</w:t>
      </w:r>
      <w:r>
        <w:rPr>
          <w:rFonts w:cs="Times New Roman"/>
          <w:szCs w:val="24"/>
        </w:rPr>
        <w:t>。这些质量标准对准确测定纯碱中氯化物有着非常高的需求，所以，准确测定纯碱中氯</w:t>
      </w:r>
      <w:r>
        <w:rPr>
          <w:rFonts w:cs="Times New Roman"/>
          <w:color w:val="24292F"/>
          <w:szCs w:val="24"/>
          <w:shd w:val="clear" w:color="auto" w:fill="FFFFFF"/>
        </w:rPr>
        <w:t>化物，除了能够满足国家和国际标准的要求，还能够为企业保障产品品质提供重要保证，提高企业的信誉度和竞争优势。</w:t>
      </w:r>
    </w:p>
    <w:p>
      <w:pPr>
        <w:ind w:firstLine="480"/>
        <w:jc w:val="center"/>
        <w:rPr>
          <w:rFonts w:cs="Times New Roman"/>
          <w:color w:val="24292F"/>
          <w:szCs w:val="24"/>
          <w:shd w:val="clear" w:color="auto" w:fill="FFFFFF"/>
        </w:rPr>
      </w:pPr>
      <w:r>
        <w:rPr>
          <w:rFonts w:hint="eastAsia" w:ascii="黑体" w:hAnsi="黑体" w:eastAsia="黑体" w:cs="黑体"/>
          <w:szCs w:val="24"/>
        </w:rPr>
        <w:t>表1 GB/T 210-2022规定碳酸钠中氯化物限值指标</w:t>
      </w:r>
    </w:p>
    <w:tbl>
      <w:tblPr>
        <w:tblStyle w:val="16"/>
        <w:tblW w:w="0" w:type="auto"/>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782"/>
        <w:gridCol w:w="1395"/>
        <w:gridCol w:w="1448"/>
        <w:gridCol w:w="1448"/>
        <w:gridCol w:w="1449"/>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782" w:type="dxa"/>
            <w:tcBorders>
              <w:bottom w:val="single" w:color="auto" w:sz="6" w:space="0"/>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碳酸钠品类</w:t>
            </w:r>
          </w:p>
        </w:tc>
        <w:tc>
          <w:tcPr>
            <w:tcW w:w="1395" w:type="dxa"/>
            <w:tcBorders>
              <w:bottom w:val="single" w:color="auto" w:sz="6" w:space="0"/>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I类</w:t>
            </w:r>
          </w:p>
        </w:tc>
        <w:tc>
          <w:tcPr>
            <w:tcW w:w="4345" w:type="dxa"/>
            <w:gridSpan w:val="3"/>
            <w:tcBorders>
              <w:bottom w:val="single" w:color="auto" w:sz="6" w:space="0"/>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II类</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782" w:type="dxa"/>
            <w:vMerge w:val="restart"/>
            <w:tcBorders>
              <w:top w:val="single" w:color="auto" w:sz="6" w:space="0"/>
              <w:tl2br w:val="nil"/>
              <w:tr2bl w:val="nil"/>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氯化钠（以干基的NaCl的质量分数计）/%，≤</w:t>
            </w:r>
          </w:p>
        </w:tc>
        <w:tc>
          <w:tcPr>
            <w:tcW w:w="1395" w:type="dxa"/>
            <w:tcBorders>
              <w:top w:val="single" w:color="auto" w:sz="6" w:space="0"/>
              <w:tl2br w:val="nil"/>
              <w:tr2bl w:val="nil"/>
            </w:tcBorders>
            <w:vAlign w:val="center"/>
          </w:tcPr>
          <w:p>
            <w:pPr>
              <w:ind w:firstLine="0" w:firstLineChars="0"/>
              <w:jc w:val="center"/>
              <w:rPr>
                <w:rFonts w:hint="default" w:cs="Times New Roman" w:eastAsiaTheme="minorEastAsia"/>
                <w:color w:val="24292F"/>
                <w:szCs w:val="24"/>
                <w:shd w:val="clear" w:color="auto" w:fill="FFFFFF"/>
                <w:lang w:val="en-US" w:eastAsia="zh-CN"/>
              </w:rPr>
            </w:pPr>
            <w:r>
              <w:rPr>
                <w:rFonts w:hint="eastAsia" w:cs="Times New Roman"/>
                <w:color w:val="24292F"/>
                <w:szCs w:val="24"/>
                <w:shd w:val="clear" w:color="auto" w:fill="FFFFFF"/>
                <w:lang w:val="en-US" w:eastAsia="zh-CN"/>
              </w:rPr>
              <w:t>/</w:t>
            </w:r>
          </w:p>
        </w:tc>
        <w:tc>
          <w:tcPr>
            <w:tcW w:w="1448" w:type="dxa"/>
            <w:tcBorders>
              <w:top w:val="single" w:color="auto" w:sz="6" w:space="0"/>
              <w:tl2br w:val="nil"/>
              <w:tr2bl w:val="nil"/>
            </w:tcBorders>
            <w:vAlign w:val="center"/>
          </w:tcPr>
          <w:p>
            <w:pPr>
              <w:ind w:firstLine="0" w:firstLineChars="0"/>
              <w:jc w:val="center"/>
              <w:rPr>
                <w:rFonts w:cs="Times New Roman"/>
                <w:color w:val="24292F"/>
                <w:szCs w:val="24"/>
                <w:shd w:val="clear" w:color="auto" w:fill="FFFFFF"/>
              </w:rPr>
            </w:pPr>
            <w:r>
              <w:rPr>
                <w:rFonts w:cs="Times New Roman"/>
                <w:color w:val="24292F"/>
                <w:szCs w:val="24"/>
                <w:shd w:val="clear" w:color="auto" w:fill="FFFFFF"/>
              </w:rPr>
              <w:t>优等品</w:t>
            </w:r>
          </w:p>
        </w:tc>
        <w:tc>
          <w:tcPr>
            <w:tcW w:w="1448" w:type="dxa"/>
            <w:tcBorders>
              <w:top w:val="single" w:color="auto" w:sz="6" w:space="0"/>
              <w:tl2br w:val="nil"/>
              <w:tr2bl w:val="nil"/>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一等品</w:t>
            </w:r>
          </w:p>
        </w:tc>
        <w:tc>
          <w:tcPr>
            <w:tcW w:w="1449" w:type="dxa"/>
            <w:tcBorders>
              <w:top w:val="single" w:color="auto" w:sz="6" w:space="0"/>
              <w:tl2br w:val="nil"/>
              <w:tr2bl w:val="nil"/>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合格品</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2782" w:type="dxa"/>
            <w:vMerge w:val="continue"/>
            <w:tcBorders>
              <w:tl2br w:val="nil"/>
              <w:tr2bl w:val="nil"/>
            </w:tcBorders>
            <w:vAlign w:val="center"/>
          </w:tcPr>
          <w:p>
            <w:pPr>
              <w:ind w:firstLine="0" w:firstLineChars="0"/>
              <w:jc w:val="center"/>
              <w:rPr>
                <w:rFonts w:cs="Times New Roman"/>
                <w:color w:val="24292F"/>
                <w:szCs w:val="24"/>
                <w:shd w:val="clear" w:color="auto" w:fill="FFFFFF"/>
              </w:rPr>
            </w:pPr>
          </w:p>
        </w:tc>
        <w:tc>
          <w:tcPr>
            <w:tcW w:w="1395" w:type="dxa"/>
            <w:tcBorders>
              <w:tl2br w:val="nil"/>
              <w:tr2bl w:val="nil"/>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0.30</w:t>
            </w:r>
          </w:p>
        </w:tc>
        <w:tc>
          <w:tcPr>
            <w:tcW w:w="1448" w:type="dxa"/>
            <w:tcBorders>
              <w:tl2br w:val="nil"/>
              <w:tr2bl w:val="nil"/>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0.70</w:t>
            </w:r>
          </w:p>
        </w:tc>
        <w:tc>
          <w:tcPr>
            <w:tcW w:w="1448" w:type="dxa"/>
            <w:tcBorders>
              <w:tl2br w:val="nil"/>
              <w:tr2bl w:val="nil"/>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0.90</w:t>
            </w:r>
          </w:p>
        </w:tc>
        <w:tc>
          <w:tcPr>
            <w:tcW w:w="1449" w:type="dxa"/>
            <w:tcBorders>
              <w:tl2br w:val="nil"/>
              <w:tr2bl w:val="nil"/>
            </w:tcBorders>
            <w:vAlign w:val="center"/>
          </w:tcPr>
          <w:p>
            <w:pPr>
              <w:ind w:firstLine="0" w:firstLineChars="0"/>
              <w:jc w:val="center"/>
              <w:rPr>
                <w:rFonts w:cs="Times New Roman"/>
                <w:color w:val="24292F"/>
                <w:szCs w:val="24"/>
                <w:shd w:val="clear" w:color="auto" w:fill="FFFFFF"/>
              </w:rPr>
            </w:pPr>
            <w:r>
              <w:rPr>
                <w:rFonts w:hint="eastAsia" w:cs="Times New Roman"/>
                <w:color w:val="24292F"/>
                <w:szCs w:val="24"/>
                <w:shd w:val="clear" w:color="auto" w:fill="FFFFFF"/>
              </w:rPr>
              <w:t>1.20</w:t>
            </w:r>
          </w:p>
        </w:tc>
      </w:tr>
    </w:tbl>
    <w:p>
      <w:pPr>
        <w:ind w:firstLine="480"/>
        <w:rPr>
          <w:rFonts w:cs="Times New Roman"/>
          <w:bCs/>
          <w:color w:val="000000"/>
          <w:szCs w:val="24"/>
        </w:rPr>
      </w:pPr>
      <w:r>
        <w:rPr>
          <w:rFonts w:cs="Times New Roman"/>
          <w:bCs/>
          <w:color w:val="000000"/>
          <w:szCs w:val="24"/>
        </w:rPr>
        <w:t>目前测定氯化物的方法主要有汞量法</w:t>
      </w:r>
      <w:r>
        <w:rPr>
          <w:rFonts w:hint="eastAsia" w:cs="Times New Roman"/>
          <w:bCs/>
          <w:color w:val="000000"/>
          <w:szCs w:val="24"/>
        </w:rPr>
        <w:t>、</w:t>
      </w:r>
      <w:r>
        <w:rPr>
          <w:rFonts w:cs="Times New Roman"/>
          <w:bCs/>
          <w:color w:val="000000"/>
          <w:szCs w:val="24"/>
        </w:rPr>
        <w:t>电位滴定法</w:t>
      </w:r>
      <w:r>
        <w:rPr>
          <w:rFonts w:hint="eastAsia" w:cs="Times New Roman"/>
          <w:bCs/>
          <w:color w:val="000000"/>
          <w:szCs w:val="24"/>
        </w:rPr>
        <w:t>、离子色谱法</w:t>
      </w:r>
      <w:r>
        <w:rPr>
          <w:rFonts w:cs="Times New Roman"/>
          <w:bCs/>
          <w:color w:val="000000"/>
          <w:szCs w:val="24"/>
        </w:rPr>
        <w:t>和离子选择电极法等。</w:t>
      </w:r>
    </w:p>
    <w:p>
      <w:pPr>
        <w:ind w:firstLine="480"/>
        <w:rPr>
          <w:rFonts w:cs="Times New Roman"/>
          <w:bCs/>
          <w:color w:val="000000"/>
          <w:szCs w:val="24"/>
        </w:rPr>
      </w:pPr>
      <w:r>
        <w:rPr>
          <w:rFonts w:cs="Times New Roman"/>
          <w:bCs/>
          <w:color w:val="000000"/>
          <w:szCs w:val="24"/>
        </w:rPr>
        <w:t>汞量法</w:t>
      </w:r>
      <w:r>
        <w:rPr>
          <w:rFonts w:cs="Times New Roman"/>
          <w:color w:val="24292F"/>
          <w:szCs w:val="24"/>
          <w:shd w:val="clear" w:color="auto" w:fill="FFFFFF"/>
        </w:rPr>
        <w:t>的原理是将纯碱溶解后，加入一定量的汞离子，氯离子和汞离子形成络合物，过量的汞离子与二巯基对苯二酚反应生成沉淀并通过烘干，静置等步骤计算出样品中氯化物含量。但是该方法</w:t>
      </w:r>
      <w:r>
        <w:rPr>
          <w:rFonts w:cs="Times New Roman"/>
          <w:bCs/>
          <w:color w:val="000000"/>
          <w:szCs w:val="24"/>
        </w:rPr>
        <w:t>使用到了剧毒化学药品硝酸汞，它对实验人员及生态环境有一定程度的危害，且滴定操作较为繁琐耗时，滴定终点的判断受个人主观影响较大，故该方法的使用仍存在一定的局限性</w:t>
      </w:r>
      <w:r>
        <w:rPr>
          <w:rFonts w:hint="eastAsia" w:cs="Times New Roman"/>
          <w:bCs/>
          <w:color w:val="000000"/>
          <w:szCs w:val="24"/>
        </w:rPr>
        <w:t>；</w:t>
      </w:r>
      <w:r>
        <w:rPr>
          <w:rFonts w:cs="Times New Roman"/>
          <w:bCs/>
          <w:color w:val="000000"/>
          <w:szCs w:val="24"/>
        </w:rPr>
        <w:t>电位滴定法</w:t>
      </w:r>
      <w:r>
        <w:rPr>
          <w:rFonts w:cs="Times New Roman"/>
          <w:color w:val="24292F"/>
          <w:szCs w:val="24"/>
          <w:shd w:val="clear" w:color="auto" w:fill="FFFFFF"/>
        </w:rPr>
        <w:t>的原理是在特定的条件下，用含有溴离子的指示剂溶液进行电位滴定，计算氯化物含量。因为氯化物比溴离子要难滴定，所以电位滴定法的灵敏度相对较低，难以检测较低浓度的氯化物；</w:t>
      </w:r>
      <w:r>
        <w:rPr>
          <w:rFonts w:cs="Times New Roman"/>
          <w:bCs/>
          <w:color w:val="000000"/>
          <w:szCs w:val="24"/>
        </w:rPr>
        <w:t>操作步骤较为繁琐，在实验过程中，需要记录大量的电位值数据，滴定管很难全程控制每次的滴定体积控制在0.10 mL，且滴定终点需通过计算电位值的突跃来判断，一旦出现偏差，就会对结果的准确性产生不利影响</w:t>
      </w:r>
      <w:r>
        <w:rPr>
          <w:rFonts w:hint="eastAsia" w:cs="Times New Roman"/>
          <w:bCs/>
          <w:color w:val="000000"/>
          <w:szCs w:val="24"/>
        </w:rPr>
        <w:t>；</w:t>
      </w:r>
      <w:r>
        <w:rPr>
          <w:rFonts w:cs="Times New Roman"/>
          <w:bCs/>
          <w:color w:val="000000"/>
          <w:szCs w:val="24"/>
        </w:rPr>
        <w:t>离子色谱法</w:t>
      </w:r>
      <w:r>
        <w:rPr>
          <w:rFonts w:hint="eastAsia" w:cs="Times New Roman"/>
          <w:bCs/>
          <w:color w:val="000000"/>
          <w:szCs w:val="24"/>
        </w:rPr>
        <w:t>的原理是</w:t>
      </w:r>
      <w:r>
        <w:rPr>
          <w:rFonts w:cs="Times New Roman"/>
          <w:bCs/>
          <w:color w:val="000000"/>
          <w:szCs w:val="24"/>
        </w:rPr>
        <w:t>利用离子交换柱实现对氯化物离子（Cl</w:t>
      </w:r>
      <w:r>
        <w:rPr>
          <w:rFonts w:cs="Times New Roman"/>
          <w:bCs/>
          <w:color w:val="000000"/>
          <w:szCs w:val="24"/>
          <w:vertAlign w:val="superscript"/>
        </w:rPr>
        <w:t>-</w:t>
      </w:r>
      <w:r>
        <w:rPr>
          <w:rFonts w:cs="Times New Roman"/>
          <w:bCs/>
          <w:color w:val="000000"/>
          <w:szCs w:val="24"/>
        </w:rPr>
        <w:t>）的分离和测定</w:t>
      </w:r>
      <w:r>
        <w:rPr>
          <w:rFonts w:hint="eastAsia" w:cs="Times New Roman"/>
          <w:bCs/>
          <w:color w:val="000000"/>
          <w:szCs w:val="24"/>
        </w:rPr>
        <w:t>。该方法</w:t>
      </w:r>
      <w:r>
        <w:rPr>
          <w:rFonts w:cs="Times New Roman"/>
          <w:bCs/>
          <w:color w:val="000000"/>
          <w:szCs w:val="24"/>
        </w:rPr>
        <w:t>对样品的前处理要求较高，通常需要</w:t>
      </w:r>
      <w:r>
        <w:rPr>
          <w:rFonts w:hint="eastAsia" w:cs="Times New Roman"/>
          <w:bCs/>
          <w:color w:val="000000"/>
          <w:szCs w:val="24"/>
        </w:rPr>
        <w:t>对</w:t>
      </w:r>
      <w:r>
        <w:rPr>
          <w:rFonts w:cs="Times New Roman"/>
          <w:bCs/>
          <w:color w:val="000000"/>
          <w:szCs w:val="24"/>
        </w:rPr>
        <w:t>样品进行过滤、稀释等步骤，以去除干扰物质和调整样品的浓度</w:t>
      </w:r>
      <w:r>
        <w:rPr>
          <w:rFonts w:hint="eastAsia" w:cs="Times New Roman"/>
          <w:bCs/>
          <w:color w:val="000000"/>
          <w:szCs w:val="24"/>
        </w:rPr>
        <w:t>，易受</w:t>
      </w:r>
      <w:r>
        <w:rPr>
          <w:rFonts w:cs="Times New Roman"/>
          <w:bCs/>
          <w:color w:val="000000"/>
          <w:szCs w:val="24"/>
        </w:rPr>
        <w:t>样品基质干扰</w:t>
      </w:r>
      <w:r>
        <w:rPr>
          <w:rFonts w:hint="eastAsia" w:cs="Times New Roman"/>
          <w:bCs/>
          <w:color w:val="000000"/>
          <w:szCs w:val="24"/>
        </w:rPr>
        <w:t>，</w:t>
      </w:r>
      <w:r>
        <w:rPr>
          <w:rFonts w:cs="Times New Roman"/>
          <w:bCs/>
          <w:color w:val="000000"/>
          <w:szCs w:val="24"/>
        </w:rPr>
        <w:t>对仪器设备的要求比较高，分析成本</w:t>
      </w:r>
      <w:r>
        <w:rPr>
          <w:rFonts w:hint="eastAsia" w:cs="Times New Roman"/>
          <w:bCs/>
          <w:color w:val="000000"/>
          <w:szCs w:val="24"/>
        </w:rPr>
        <w:t>昂贵；</w:t>
      </w:r>
      <w:r>
        <w:rPr>
          <w:rFonts w:cs="Times New Roman"/>
          <w:bCs/>
          <w:color w:val="000000"/>
          <w:szCs w:val="24"/>
        </w:rPr>
        <w:t>离子选择电极法通过敏感膜与目标离子之间的特异性反应，产生电位变化，进而测定氯化物离子（Cl</w:t>
      </w:r>
      <w:r>
        <w:rPr>
          <w:rFonts w:cs="Times New Roman"/>
          <w:bCs/>
          <w:color w:val="000000"/>
          <w:szCs w:val="24"/>
          <w:vertAlign w:val="superscript"/>
        </w:rPr>
        <w:t>-</w:t>
      </w:r>
      <w:r>
        <w:rPr>
          <w:rFonts w:cs="Times New Roman"/>
          <w:bCs/>
          <w:color w:val="000000"/>
          <w:szCs w:val="24"/>
        </w:rPr>
        <w:t>）的浓度</w:t>
      </w:r>
      <w:r>
        <w:rPr>
          <w:rFonts w:hint="eastAsia" w:cs="Times New Roman"/>
          <w:bCs/>
          <w:color w:val="000000"/>
          <w:szCs w:val="24"/>
        </w:rPr>
        <w:t>。</w:t>
      </w:r>
      <w:r>
        <w:rPr>
          <w:rFonts w:cs="Times New Roman"/>
          <w:bCs/>
          <w:color w:val="000000"/>
          <w:szCs w:val="24"/>
        </w:rPr>
        <w:t>具有操作简单、安全无害、高效准确、高灵敏度、低成本、环境友好等优点，可对样品直接进行测定，不需要特殊技能或大量的前期准备和复杂的前处理，目前已被广泛的运用于氯化物的测定。因此，本文建立离子选择电极法来测定工业碳酸钠中的氯化物含量。</w:t>
      </w:r>
    </w:p>
    <w:p>
      <w:pPr>
        <w:ind w:firstLine="480"/>
        <w:rPr>
          <w:rFonts w:cs="Times New Roman" w:eastAsiaTheme="majorEastAsia"/>
          <w:bCs/>
          <w:color w:val="000000" w:themeColor="text1"/>
          <w:szCs w:val="24"/>
          <w14:textFill>
            <w14:solidFill>
              <w14:schemeClr w14:val="tx1"/>
            </w14:solidFill>
          </w14:textFill>
        </w:rPr>
      </w:pPr>
    </w:p>
    <w:p>
      <w:pPr>
        <w:tabs>
          <w:tab w:val="left" w:pos="636"/>
        </w:tabs>
        <w:ind w:firstLine="0" w:firstLineChars="0"/>
        <w:rPr>
          <w:rFonts w:ascii="黑体" w:hAnsi="黑体" w:eastAsia="黑体" w:cs="黑体"/>
          <w:szCs w:val="24"/>
        </w:rPr>
      </w:pPr>
      <w:r>
        <w:rPr>
          <w:rFonts w:hint="eastAsia" w:ascii="黑体" w:hAnsi="黑体" w:eastAsia="黑体" w:cs="黑体"/>
          <w:szCs w:val="24"/>
        </w:rPr>
        <w:t>1.6 技术路线图</w:t>
      </w:r>
    </w:p>
    <w:p>
      <w:pPr>
        <w:ind w:firstLine="480"/>
        <w:jc w:val="left"/>
        <w:rPr>
          <w:rFonts w:cs="Times New Roman" w:eastAsiaTheme="majorEastAsia"/>
          <w:bCs/>
          <w:color w:val="000000" w:themeColor="text1"/>
          <w:szCs w:val="24"/>
          <w14:textFill>
            <w14:solidFill>
              <w14:schemeClr w14:val="tx1"/>
            </w14:solidFill>
          </w14:textFill>
        </w:rPr>
      </w:pPr>
      <w:r>
        <w:rPr>
          <w:rFonts w:hint="eastAsia" w:cs="Times New Roman" w:eastAsiaTheme="majorEastAsia"/>
          <w:bCs/>
          <w:color w:val="000000" w:themeColor="text1"/>
          <w:szCs w:val="24"/>
          <w14:textFill>
            <w14:solidFill>
              <w14:schemeClr w14:val="tx1"/>
            </w14:solidFill>
          </w14:textFill>
        </w:rPr>
        <w:t>综上所述，在总结前人工作方法的基础上，结合工作实践经验，本标准初步确定了以下技术研究路线，如图1所示，即主要的流程是首先建立标准曲线；然后进行样品的测定：称样→酸溶解→调节pH→加入总离子强度缓冲液（乙酸盐缓冲溶液）→离子计测定；最后进行方法验证和实验室间的协同，完成方法建立。</w:t>
      </w:r>
    </w:p>
    <w:p>
      <w:pPr>
        <w:ind w:firstLine="480"/>
        <w:jc w:val="center"/>
        <w:rPr>
          <w:rFonts w:cs="Times New Roman" w:eastAsiaTheme="majorEastAsia"/>
          <w:bCs/>
          <w:color w:val="000000" w:themeColor="text1"/>
          <w:szCs w:val="24"/>
          <w14:textFill>
            <w14:solidFill>
              <w14:schemeClr w14:val="tx1"/>
            </w14:solidFill>
          </w14:textFill>
        </w:rPr>
      </w:pPr>
      <w:r>
        <w:drawing>
          <wp:inline distT="0" distB="0" distL="114300" distR="114300">
            <wp:extent cx="3044825" cy="2948305"/>
            <wp:effectExtent l="0" t="0" r="3175"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3044825" cy="2948305"/>
                    </a:xfrm>
                    <a:prstGeom prst="rect">
                      <a:avLst/>
                    </a:prstGeom>
                    <a:noFill/>
                    <a:ln>
                      <a:noFill/>
                    </a:ln>
                  </pic:spPr>
                </pic:pic>
              </a:graphicData>
            </a:graphic>
          </wp:inline>
        </w:drawing>
      </w:r>
    </w:p>
    <w:p>
      <w:pPr>
        <w:ind w:firstLine="480"/>
        <w:jc w:val="center"/>
        <w:rPr>
          <w:rFonts w:hint="eastAsia" w:ascii="黑体" w:hAnsi="黑体" w:eastAsia="黑体" w:cs="黑体"/>
          <w:szCs w:val="24"/>
        </w:rPr>
      </w:pPr>
      <w:r>
        <w:rPr>
          <w:rFonts w:hint="eastAsia" w:ascii="黑体" w:hAnsi="黑体" w:eastAsia="黑体" w:cs="黑体"/>
          <w:szCs w:val="24"/>
        </w:rPr>
        <w:t>图1 技术路线图</w:t>
      </w:r>
    </w:p>
    <w:p>
      <w:pPr>
        <w:pStyle w:val="42"/>
        <w:numPr>
          <w:ilvl w:val="0"/>
          <w:numId w:val="7"/>
        </w:numPr>
        <w:spacing w:before="0" w:after="0" w:line="360" w:lineRule="auto"/>
        <w:outlineLvl w:val="0"/>
        <w:rPr>
          <w:rFonts w:ascii="黑体" w:hAnsi="黑体" w:eastAsia="黑体" w:cs="黑体"/>
          <w:b w:val="0"/>
          <w:szCs w:val="28"/>
        </w:rPr>
      </w:pPr>
      <w:r>
        <w:rPr>
          <w:rFonts w:hint="eastAsia" w:ascii="黑体" w:hAnsi="黑体" w:eastAsia="黑体" w:cs="黑体"/>
          <w:b w:val="0"/>
          <w:szCs w:val="28"/>
        </w:rPr>
        <w:t>主要内容</w:t>
      </w:r>
    </w:p>
    <w:p>
      <w:pPr>
        <w:pStyle w:val="48"/>
        <w:numPr>
          <w:ilvl w:val="0"/>
          <w:numId w:val="0"/>
        </w:numPr>
        <w:spacing w:beforeLines="0" w:afterLines="0" w:line="360" w:lineRule="auto"/>
        <w:rPr>
          <w:rFonts w:hAnsi="黑体" w:cs="黑体"/>
          <w:bCs/>
          <w:color w:val="000000" w:themeColor="text1"/>
          <w:kern w:val="2"/>
          <w:sz w:val="24"/>
          <w:szCs w:val="24"/>
          <w14:textFill>
            <w14:solidFill>
              <w14:schemeClr w14:val="tx1"/>
            </w14:solidFill>
          </w14:textFill>
        </w:rPr>
      </w:pPr>
      <w:r>
        <w:rPr>
          <w:rFonts w:hint="eastAsia" w:hAnsi="黑体" w:cs="黑体"/>
          <w:bCs/>
          <w:color w:val="000000" w:themeColor="text1"/>
          <w:kern w:val="2"/>
          <w:sz w:val="24"/>
          <w:szCs w:val="24"/>
          <w14:textFill>
            <w14:solidFill>
              <w14:schemeClr w14:val="tx1"/>
            </w14:solidFill>
          </w14:textFill>
        </w:rPr>
        <w:t>2.1 范围</w:t>
      </w:r>
    </w:p>
    <w:p>
      <w:pPr>
        <w:ind w:firstLine="480"/>
        <w:rPr>
          <w:rFonts w:eastAsia="宋体" w:cs="Times New Roman"/>
        </w:rPr>
      </w:pPr>
      <w:r>
        <w:rPr>
          <w:rFonts w:eastAsia="宋体" w:cs="Times New Roman"/>
        </w:rPr>
        <w:t>本文件规定了工业碳酸钠中用电极法测定氯化物的方法。</w:t>
      </w:r>
    </w:p>
    <w:p>
      <w:pPr>
        <w:ind w:firstLine="480"/>
        <w:rPr>
          <w:rFonts w:eastAsia="宋体" w:cs="Times New Roman"/>
        </w:rPr>
      </w:pPr>
      <w:r>
        <w:rPr>
          <w:rFonts w:eastAsia="宋体" w:cs="Times New Roman"/>
        </w:rPr>
        <w:t>本文件适用于工业碳酸钠中氯离子含量在0.00</w:t>
      </w:r>
      <w:r>
        <w:rPr>
          <w:rFonts w:hint="eastAsia" w:eastAsia="宋体" w:cs="Times New Roman"/>
          <w:lang w:val="en-US" w:eastAsia="zh-CN"/>
        </w:rPr>
        <w:t>5</w:t>
      </w:r>
      <w:r>
        <w:rPr>
          <w:rFonts w:eastAsia="宋体" w:cs="Times New Roman"/>
        </w:rPr>
        <w:t>%～2.0</w:t>
      </w:r>
      <w:r>
        <w:rPr>
          <w:rFonts w:hint="eastAsia" w:eastAsia="宋体" w:cs="Times New Roman"/>
          <w:lang w:val="en-US" w:eastAsia="zh-CN"/>
        </w:rPr>
        <w:t>0</w:t>
      </w:r>
      <w:r>
        <w:rPr>
          <w:rFonts w:eastAsia="宋体" w:cs="Times New Roman"/>
        </w:rPr>
        <w:t>%的样品测定。</w:t>
      </w:r>
    </w:p>
    <w:p>
      <w:pPr>
        <w:ind w:firstLine="480"/>
        <w:rPr>
          <w:rFonts w:eastAsia="宋体" w:cs="Times New Roman"/>
        </w:rPr>
      </w:pPr>
    </w:p>
    <w:p>
      <w:pPr>
        <w:pStyle w:val="48"/>
        <w:numPr>
          <w:ilvl w:val="0"/>
          <w:numId w:val="0"/>
        </w:numPr>
        <w:spacing w:beforeLines="0" w:afterLines="0" w:line="360" w:lineRule="auto"/>
        <w:rPr>
          <w:sz w:val="24"/>
          <w:szCs w:val="24"/>
        </w:rPr>
      </w:pPr>
      <w:r>
        <w:rPr>
          <w:rFonts w:hint="eastAsia"/>
          <w:sz w:val="24"/>
          <w:szCs w:val="24"/>
        </w:rPr>
        <w:t>2.2 规范性引用文件</w:t>
      </w:r>
    </w:p>
    <w:p>
      <w:pPr>
        <w:ind w:firstLine="480"/>
        <w:rPr>
          <w:rFonts w:eastAsia="宋体" w:cs="Times New Roman"/>
        </w:rPr>
      </w:pPr>
      <w:r>
        <w:rPr>
          <w:rFonts w:hint="eastAsia" w:eastAsia="宋体" w:cs="Times New Roman"/>
        </w:rPr>
        <w:t>下列文件对于本文件的应用是必不可少的。凡是注日期的引用文件，仅所注日期的版本适用于本文件。凡是不注日期的引用文件，其最新版本（包括所有的修改单）适用于本文件。</w:t>
      </w:r>
    </w:p>
    <w:p>
      <w:pPr>
        <w:ind w:firstLine="480"/>
        <w:rPr>
          <w:rFonts w:eastAsia="宋体" w:cs="Times New Roman"/>
        </w:rPr>
      </w:pPr>
      <w:r>
        <w:rPr>
          <w:rFonts w:hint="eastAsia" w:eastAsia="宋体" w:cs="Times New Roman"/>
        </w:rPr>
        <w:t>GB/T 6682 分析实验室用水规格和试验方法</w:t>
      </w:r>
    </w:p>
    <w:p>
      <w:pPr>
        <w:ind w:firstLine="480"/>
        <w:rPr>
          <w:rFonts w:eastAsia="宋体" w:cs="Times New Roman"/>
        </w:rPr>
      </w:pPr>
    </w:p>
    <w:p>
      <w:pPr>
        <w:pStyle w:val="48"/>
        <w:numPr>
          <w:ilvl w:val="0"/>
          <w:numId w:val="0"/>
        </w:numPr>
        <w:spacing w:beforeLines="0" w:afterLines="0" w:line="360" w:lineRule="auto"/>
        <w:rPr>
          <w:sz w:val="24"/>
          <w:szCs w:val="24"/>
        </w:rPr>
      </w:pPr>
      <w:r>
        <w:rPr>
          <w:rFonts w:hint="eastAsia"/>
          <w:sz w:val="24"/>
          <w:szCs w:val="24"/>
        </w:rPr>
        <w:t>2.3 原理</w:t>
      </w:r>
    </w:p>
    <w:p>
      <w:pPr>
        <w:ind w:firstLine="480"/>
        <w:rPr>
          <w:rFonts w:eastAsia="宋体" w:cs="Times New Roman"/>
        </w:rPr>
      </w:pPr>
      <w:r>
        <w:rPr>
          <w:rFonts w:hint="eastAsia" w:eastAsia="宋体" w:cs="Times New Roman"/>
        </w:rPr>
        <w:t>试样经稀硝酸溶解后，在pH为</w:t>
      </w:r>
      <w:r>
        <w:rPr>
          <w:rFonts w:eastAsia="宋体" w:cs="Times New Roman"/>
        </w:rPr>
        <w:t>5～6</w:t>
      </w:r>
      <w:r>
        <w:rPr>
          <w:rFonts w:hint="eastAsia" w:eastAsia="宋体" w:cs="Times New Roman"/>
        </w:rPr>
        <w:t>情况下，用乙酸盐缓冲溶液调节总离子强度，以氯离子选择电极和饱和甘汞电极测量电位。试样中氯离子浓度的对数值与电极电位值存在线性关系，符合能斯特方程，通过测定样品中氯离子的电位值，即可求出氯离子浓度。</w:t>
      </w:r>
    </w:p>
    <w:p>
      <w:pPr>
        <w:pStyle w:val="48"/>
        <w:numPr>
          <w:ilvl w:val="0"/>
          <w:numId w:val="0"/>
        </w:numPr>
        <w:spacing w:beforeLines="0" w:afterLines="0" w:line="360" w:lineRule="auto"/>
        <w:rPr>
          <w:sz w:val="24"/>
          <w:szCs w:val="24"/>
        </w:rPr>
      </w:pPr>
    </w:p>
    <w:p>
      <w:pPr>
        <w:pStyle w:val="48"/>
        <w:numPr>
          <w:ilvl w:val="0"/>
          <w:numId w:val="0"/>
        </w:numPr>
        <w:spacing w:beforeLines="0" w:afterLines="0" w:line="360" w:lineRule="auto"/>
        <w:rPr>
          <w:sz w:val="24"/>
          <w:szCs w:val="24"/>
        </w:rPr>
      </w:pPr>
      <w:r>
        <w:rPr>
          <w:rFonts w:hint="eastAsia"/>
          <w:sz w:val="24"/>
          <w:szCs w:val="24"/>
        </w:rPr>
        <w:t>2.4 试剂</w:t>
      </w:r>
    </w:p>
    <w:p>
      <w:pPr>
        <w:ind w:firstLine="480"/>
        <w:rPr>
          <w:rFonts w:eastAsia="宋体"/>
          <w:color w:val="0000FF"/>
        </w:rPr>
      </w:pPr>
      <w:r>
        <w:rPr>
          <w:rFonts w:hint="eastAsia" w:eastAsia="宋体" w:cs="Times New Roman"/>
        </w:rPr>
        <w:t>本文件所用试剂和水，在没有注明其他要求时，均指分析纯试剂和GB/T 6682中规定的三级水。</w:t>
      </w:r>
    </w:p>
    <w:p>
      <w:pPr>
        <w:ind w:firstLine="480"/>
        <w:rPr>
          <w:rFonts w:eastAsia="宋体" w:cs="Times New Roman"/>
        </w:rPr>
      </w:pPr>
      <w:r>
        <w:rPr>
          <w:rFonts w:hint="eastAsia" w:eastAsia="宋体" w:cs="Times New Roman"/>
        </w:rPr>
        <w:t>2.4.1  硝酸溶液（1+1）。</w:t>
      </w:r>
    </w:p>
    <w:p>
      <w:pPr>
        <w:ind w:firstLine="480"/>
        <w:rPr>
          <w:rFonts w:eastAsia="宋体" w:cs="Times New Roman"/>
        </w:rPr>
      </w:pPr>
      <w:r>
        <w:rPr>
          <w:rFonts w:hint="eastAsia" w:eastAsia="宋体" w:cs="Times New Roman"/>
        </w:rPr>
        <w:t>2.4.2  氢氧化钠溶液</w:t>
      </w:r>
      <w:r>
        <w:rPr>
          <w:rFonts w:eastAsia="宋体" w:cs="Times New Roman"/>
        </w:rPr>
        <w:t>（100 g/L）</w:t>
      </w:r>
      <w:r>
        <w:rPr>
          <w:rFonts w:hint="eastAsia" w:eastAsia="宋体" w:cs="Times New Roman"/>
        </w:rPr>
        <w:t>。</w:t>
      </w:r>
    </w:p>
    <w:p>
      <w:pPr>
        <w:ind w:firstLine="480"/>
        <w:rPr>
          <w:rFonts w:eastAsia="宋体" w:cs="Times New Roman"/>
        </w:rPr>
      </w:pPr>
      <w:r>
        <w:rPr>
          <w:rFonts w:hint="eastAsia" w:eastAsia="宋体" w:cs="Times New Roman"/>
        </w:rPr>
        <w:t xml:space="preserve">2.4.3  </w:t>
      </w:r>
      <w:r>
        <w:rPr>
          <w:rFonts w:eastAsia="宋体" w:cs="Times New Roman"/>
        </w:rPr>
        <w:t>乙酸盐缓冲</w:t>
      </w:r>
      <w:r>
        <w:rPr>
          <w:rFonts w:hint="eastAsia" w:eastAsia="宋体" w:cs="Times New Roman"/>
        </w:rPr>
        <w:t>溶</w:t>
      </w:r>
      <w:r>
        <w:rPr>
          <w:rFonts w:eastAsia="宋体" w:cs="Times New Roman"/>
        </w:rPr>
        <w:t>液：</w:t>
      </w:r>
      <w:r>
        <w:rPr>
          <w:rFonts w:hint="eastAsia" w:eastAsia="宋体" w:cs="Times New Roman"/>
        </w:rPr>
        <w:t>将</w:t>
      </w:r>
      <w:r>
        <w:rPr>
          <w:rFonts w:eastAsia="宋体" w:cs="Times New Roman"/>
        </w:rPr>
        <w:t>50 mL</w:t>
      </w:r>
      <w:r>
        <w:rPr>
          <w:rFonts w:hint="eastAsia" w:eastAsia="宋体" w:cs="Times New Roman"/>
        </w:rPr>
        <w:t>冰</w:t>
      </w:r>
      <w:r>
        <w:rPr>
          <w:rFonts w:eastAsia="宋体" w:cs="Times New Roman"/>
        </w:rPr>
        <w:t>乙酸和100 g硝酸钾</w:t>
      </w:r>
      <w:r>
        <w:rPr>
          <w:rFonts w:hint="eastAsia" w:eastAsia="宋体" w:cs="Times New Roman"/>
        </w:rPr>
        <w:t>分别加入</w:t>
      </w:r>
      <w:r>
        <w:rPr>
          <w:rFonts w:eastAsia="宋体" w:cs="Times New Roman"/>
        </w:rPr>
        <w:t>500 mL水中，</w:t>
      </w:r>
      <w:r>
        <w:rPr>
          <w:rFonts w:hint="eastAsia" w:eastAsia="宋体" w:cs="Times New Roman"/>
        </w:rPr>
        <w:t>再用</w:t>
      </w:r>
      <w:r>
        <w:rPr>
          <w:rFonts w:eastAsia="宋体" w:cs="Times New Roman"/>
        </w:rPr>
        <w:t>氢氧化钠溶液（100 g/L）调节pH至5～6</w:t>
      </w:r>
      <w:r>
        <w:rPr>
          <w:rFonts w:hint="eastAsia" w:eastAsia="宋体" w:cs="Times New Roman"/>
        </w:rPr>
        <w:t>左右</w:t>
      </w:r>
      <w:r>
        <w:rPr>
          <w:rFonts w:eastAsia="宋体" w:cs="Times New Roman"/>
        </w:rPr>
        <w:t>，</w:t>
      </w:r>
      <w:r>
        <w:rPr>
          <w:rFonts w:hint="eastAsia" w:eastAsia="宋体" w:cs="Times New Roman"/>
        </w:rPr>
        <w:t>定容至1 000 m</w:t>
      </w:r>
      <w:r>
        <w:rPr>
          <w:rFonts w:eastAsia="宋体" w:cs="Times New Roman"/>
        </w:rPr>
        <w:t>L。</w:t>
      </w:r>
    </w:p>
    <w:p>
      <w:pPr>
        <w:ind w:firstLine="480"/>
        <w:rPr>
          <w:rFonts w:eastAsia="宋体" w:cs="Times New Roman"/>
        </w:rPr>
      </w:pPr>
      <w:r>
        <w:rPr>
          <w:rFonts w:hint="eastAsia" w:eastAsia="宋体" w:cs="Times New Roman"/>
        </w:rPr>
        <w:t xml:space="preserve">2.4.4  </w:t>
      </w:r>
      <w:r>
        <w:rPr>
          <w:rFonts w:eastAsia="宋体" w:cs="Times New Roman"/>
        </w:rPr>
        <w:t>氯离子标准溶液（1</w:t>
      </w:r>
      <w:r>
        <w:rPr>
          <w:rFonts w:hint="eastAsia" w:eastAsia="宋体" w:cs="Times New Roman"/>
        </w:rPr>
        <w:t xml:space="preserve"> </w:t>
      </w:r>
      <w:r>
        <w:rPr>
          <w:rFonts w:eastAsia="宋体" w:cs="Times New Roman"/>
        </w:rPr>
        <w:t>000 mg/L）：</w:t>
      </w:r>
      <w:r>
        <w:rPr>
          <w:rFonts w:hint="eastAsia" w:eastAsia="宋体" w:cs="Times New Roman"/>
        </w:rPr>
        <w:t>将</w:t>
      </w:r>
      <w:r>
        <w:rPr>
          <w:rFonts w:eastAsia="宋体" w:cs="Times New Roman"/>
        </w:rPr>
        <w:t>基准氯化钠在</w:t>
      </w:r>
      <w:r>
        <w:rPr>
          <w:rFonts w:hint="eastAsia" w:eastAsia="宋体" w:cs="Times New Roman"/>
        </w:rPr>
        <w:t>（</w:t>
      </w:r>
      <w:r>
        <w:rPr>
          <w:rFonts w:eastAsia="宋体" w:cs="Times New Roman"/>
        </w:rPr>
        <w:t>600</w:t>
      </w:r>
      <w:r>
        <w:rPr>
          <w:rFonts w:hint="eastAsia" w:eastAsia="宋体" w:cs="Times New Roman"/>
        </w:rPr>
        <w:t>±5）</w:t>
      </w:r>
      <w:r>
        <w:rPr>
          <w:rFonts w:eastAsia="宋体" w:cs="Times New Roman"/>
        </w:rPr>
        <w:t>℃灼烧1</w:t>
      </w:r>
      <w:r>
        <w:rPr>
          <w:rFonts w:hint="eastAsia" w:eastAsia="宋体" w:cs="Times New Roman"/>
        </w:rPr>
        <w:t xml:space="preserve"> </w:t>
      </w:r>
      <w:r>
        <w:rPr>
          <w:rFonts w:eastAsia="宋体" w:cs="Times New Roman"/>
        </w:rPr>
        <w:t>h</w:t>
      </w:r>
      <w:r>
        <w:rPr>
          <w:rFonts w:hint="eastAsia" w:eastAsia="宋体" w:cs="Times New Roman"/>
        </w:rPr>
        <w:t>，准确称取</w:t>
      </w:r>
      <w:r>
        <w:rPr>
          <w:rFonts w:eastAsia="宋体" w:cs="Times New Roman"/>
        </w:rPr>
        <w:t>1.648</w:t>
      </w:r>
      <w:r>
        <w:rPr>
          <w:rFonts w:hint="eastAsia" w:eastAsia="宋体" w:cs="Times New Roman"/>
        </w:rPr>
        <w:t xml:space="preserve"> 5</w:t>
      </w:r>
      <w:r>
        <w:rPr>
          <w:rFonts w:eastAsia="宋体" w:cs="Times New Roman"/>
        </w:rPr>
        <w:t xml:space="preserve"> g，</w:t>
      </w:r>
      <w:r>
        <w:rPr>
          <w:rFonts w:hint="eastAsia" w:eastAsia="宋体" w:cs="Times New Roman"/>
        </w:rPr>
        <w:t>精确到0.000 2 g，</w:t>
      </w:r>
      <w:r>
        <w:rPr>
          <w:rFonts w:eastAsia="宋体" w:cs="Times New Roman"/>
        </w:rPr>
        <w:t>定容至1 L。</w:t>
      </w:r>
      <w:r>
        <w:rPr>
          <w:rFonts w:hint="eastAsia" w:eastAsia="宋体" w:cs="Times New Roman"/>
        </w:rPr>
        <w:t>也可购买市售有证标准物质。</w:t>
      </w:r>
    </w:p>
    <w:p>
      <w:pPr>
        <w:ind w:firstLine="480"/>
        <w:rPr>
          <w:rFonts w:eastAsia="宋体" w:cs="Times New Roman"/>
        </w:rPr>
      </w:pPr>
      <w:r>
        <w:rPr>
          <w:rFonts w:hint="eastAsia" w:eastAsia="宋体" w:cs="Times New Roman"/>
        </w:rPr>
        <w:t xml:space="preserve">2.4.5  </w:t>
      </w:r>
      <w:r>
        <w:rPr>
          <w:rFonts w:eastAsia="宋体" w:cs="Times New Roman"/>
        </w:rPr>
        <w:t>氯离子标准</w:t>
      </w:r>
      <w:r>
        <w:rPr>
          <w:rFonts w:hint="eastAsia" w:eastAsia="宋体" w:cs="Times New Roman"/>
        </w:rPr>
        <w:t>储备</w:t>
      </w:r>
      <w:r>
        <w:rPr>
          <w:rFonts w:eastAsia="宋体" w:cs="Times New Roman"/>
        </w:rPr>
        <w:t>溶液（</w:t>
      </w:r>
      <w:r>
        <w:rPr>
          <w:rFonts w:hint="eastAsia" w:eastAsia="宋体" w:cs="Times New Roman"/>
        </w:rPr>
        <w:t>1</w:t>
      </w:r>
      <w:r>
        <w:rPr>
          <w:rFonts w:eastAsia="宋体" w:cs="Times New Roman"/>
        </w:rPr>
        <w:t>00 mg/L）：</w:t>
      </w:r>
      <w:r>
        <w:rPr>
          <w:rFonts w:hint="eastAsia" w:eastAsia="宋体" w:cs="Times New Roman"/>
        </w:rPr>
        <w:t>准确将10 mL</w:t>
      </w:r>
      <w:r>
        <w:rPr>
          <w:rFonts w:eastAsia="宋体" w:cs="Times New Roman"/>
        </w:rPr>
        <w:t>氯离子标准溶液（1</w:t>
      </w:r>
      <w:r>
        <w:rPr>
          <w:rFonts w:hint="eastAsia" w:eastAsia="宋体" w:cs="Times New Roman"/>
        </w:rPr>
        <w:t xml:space="preserve"> </w:t>
      </w:r>
      <w:r>
        <w:rPr>
          <w:rFonts w:eastAsia="宋体" w:cs="Times New Roman"/>
        </w:rPr>
        <w:t>000 mg/L）</w:t>
      </w:r>
      <w:r>
        <w:rPr>
          <w:rFonts w:hint="eastAsia" w:eastAsia="宋体" w:cs="Times New Roman"/>
        </w:rPr>
        <w:t>加入100 mL容量瓶中，稀释至刻度。</w:t>
      </w:r>
    </w:p>
    <w:p>
      <w:pPr>
        <w:ind w:firstLine="480"/>
        <w:rPr>
          <w:color w:val="000000" w:themeColor="text1"/>
          <w14:textFill>
            <w14:solidFill>
              <w14:schemeClr w14:val="tx1"/>
            </w14:solidFill>
          </w14:textFill>
        </w:rPr>
      </w:pPr>
      <w:r>
        <w:rPr>
          <w:rFonts w:hint="eastAsia" w:eastAsia="宋体" w:cs="Times New Roman"/>
        </w:rPr>
        <w:t>2.4.6  基准碳酸钠，碳酸钠质量分数≥99.95%。</w:t>
      </w:r>
    </w:p>
    <w:p>
      <w:pPr>
        <w:pStyle w:val="48"/>
        <w:numPr>
          <w:ilvl w:val="0"/>
          <w:numId w:val="0"/>
        </w:numPr>
        <w:spacing w:beforeLines="0" w:afterLines="0" w:line="360" w:lineRule="auto"/>
        <w:rPr>
          <w:sz w:val="24"/>
          <w:szCs w:val="24"/>
        </w:rPr>
      </w:pPr>
    </w:p>
    <w:p>
      <w:pPr>
        <w:pStyle w:val="48"/>
        <w:numPr>
          <w:ilvl w:val="0"/>
          <w:numId w:val="0"/>
        </w:numPr>
        <w:spacing w:beforeLines="0" w:afterLines="0" w:line="360" w:lineRule="auto"/>
        <w:rPr>
          <w:color w:val="000000" w:themeColor="text1"/>
          <w14:textFill>
            <w14:solidFill>
              <w14:schemeClr w14:val="tx1"/>
            </w14:solidFill>
          </w14:textFill>
        </w:rPr>
      </w:pPr>
      <w:r>
        <w:rPr>
          <w:rFonts w:hint="eastAsia"/>
          <w:sz w:val="24"/>
          <w:szCs w:val="24"/>
        </w:rPr>
        <w:t>2.5仪器</w:t>
      </w:r>
    </w:p>
    <w:p>
      <w:pPr>
        <w:pStyle w:val="24"/>
        <w:spacing w:line="360" w:lineRule="auto"/>
        <w:ind w:firstLine="480"/>
        <w:rPr>
          <w:rFonts w:ascii="Times New Roman"/>
          <w:color w:val="000000" w:themeColor="text1"/>
          <w:sz w:val="24"/>
          <w:szCs w:val="24"/>
          <w14:textFill>
            <w14:solidFill>
              <w14:schemeClr w14:val="tx1"/>
            </w14:solidFill>
          </w14:textFill>
        </w:rPr>
      </w:pPr>
      <w:r>
        <w:rPr>
          <w:rFonts w:hint="eastAsia" w:ascii="Times New Roman"/>
          <w:color w:val="000000" w:themeColor="text1"/>
          <w:sz w:val="24"/>
          <w:szCs w:val="24"/>
          <w14:textFill>
            <w14:solidFill>
              <w14:schemeClr w14:val="tx1"/>
            </w14:solidFill>
          </w14:textFill>
        </w:rPr>
        <w:t>2.</w:t>
      </w:r>
      <w:r>
        <w:rPr>
          <w:rFonts w:ascii="Times New Roman"/>
          <w:color w:val="000000" w:themeColor="text1"/>
          <w:sz w:val="24"/>
          <w:szCs w:val="24"/>
          <w14:textFill>
            <w14:solidFill>
              <w14:schemeClr w14:val="tx1"/>
            </w14:solidFill>
          </w14:textFill>
        </w:rPr>
        <w:t>5.1</w:t>
      </w:r>
      <w:r>
        <w:rPr>
          <w:rFonts w:hint="eastAsia" w:ascii="Times New Roman"/>
          <w:color w:val="000000" w:themeColor="text1"/>
          <w:sz w:val="24"/>
          <w:szCs w:val="24"/>
          <w14:textFill>
            <w14:solidFill>
              <w14:schemeClr w14:val="tx1"/>
            </w14:solidFill>
          </w14:textFill>
        </w:rPr>
        <w:t xml:space="preserve">  </w:t>
      </w:r>
      <w:r>
        <w:rPr>
          <w:rFonts w:ascii="Times New Roman"/>
          <w:color w:val="000000" w:themeColor="text1"/>
          <w:sz w:val="24"/>
          <w:szCs w:val="24"/>
          <w14:textFill>
            <w14:solidFill>
              <w14:schemeClr w14:val="tx1"/>
            </w14:solidFill>
          </w14:textFill>
        </w:rPr>
        <w:t>离子计：精度不低于0.1 mV。</w:t>
      </w:r>
    </w:p>
    <w:p>
      <w:pPr>
        <w:pStyle w:val="24"/>
        <w:spacing w:line="360" w:lineRule="auto"/>
        <w:ind w:firstLine="480"/>
        <w:rPr>
          <w:rFonts w:ascii="Times New Roman"/>
          <w:color w:val="000000" w:themeColor="text1"/>
          <w:sz w:val="24"/>
          <w:szCs w:val="24"/>
          <w14:textFill>
            <w14:solidFill>
              <w14:schemeClr w14:val="tx1"/>
            </w14:solidFill>
          </w14:textFill>
        </w:rPr>
      </w:pPr>
      <w:r>
        <w:rPr>
          <w:rFonts w:hint="eastAsia" w:ascii="Times New Roman"/>
          <w:color w:val="000000" w:themeColor="text1"/>
          <w:sz w:val="24"/>
          <w:szCs w:val="24"/>
          <w14:textFill>
            <w14:solidFill>
              <w14:schemeClr w14:val="tx1"/>
            </w14:solidFill>
          </w14:textFill>
        </w:rPr>
        <w:t>2.</w:t>
      </w:r>
      <w:r>
        <w:rPr>
          <w:rFonts w:ascii="Times New Roman"/>
          <w:color w:val="000000" w:themeColor="text1"/>
          <w:sz w:val="24"/>
          <w:szCs w:val="24"/>
          <w14:textFill>
            <w14:solidFill>
              <w14:schemeClr w14:val="tx1"/>
            </w14:solidFill>
          </w14:textFill>
        </w:rPr>
        <w:t>5.2</w:t>
      </w:r>
      <w:r>
        <w:rPr>
          <w:rFonts w:hint="eastAsia" w:ascii="Times New Roman"/>
          <w:color w:val="000000" w:themeColor="text1"/>
          <w:sz w:val="24"/>
          <w:szCs w:val="24"/>
          <w14:textFill>
            <w14:solidFill>
              <w14:schemeClr w14:val="tx1"/>
            </w14:solidFill>
          </w14:textFill>
        </w:rPr>
        <w:t xml:space="preserve">  </w:t>
      </w:r>
      <w:r>
        <w:rPr>
          <w:rFonts w:ascii="Times New Roman"/>
          <w:color w:val="000000" w:themeColor="text1"/>
          <w:sz w:val="24"/>
          <w:szCs w:val="24"/>
          <w14:textFill>
            <w14:solidFill>
              <w14:schemeClr w14:val="tx1"/>
            </w14:solidFill>
          </w14:textFill>
        </w:rPr>
        <w:t>工作电极：银电极或硫化银涂层的银电极。电极不用时可以干贮存，使用前须预先在水中或10</w:t>
      </w:r>
      <w:r>
        <w:rPr>
          <w:rFonts w:ascii="Times New Roman"/>
          <w:color w:val="000000" w:themeColor="text1"/>
          <w:sz w:val="24"/>
          <w:szCs w:val="24"/>
          <w:vertAlign w:val="superscript"/>
          <w14:textFill>
            <w14:solidFill>
              <w14:schemeClr w14:val="tx1"/>
            </w14:solidFill>
          </w14:textFill>
        </w:rPr>
        <w:t>-3</w:t>
      </w:r>
      <w:r>
        <w:rPr>
          <w:rFonts w:ascii="Times New Roman"/>
          <w:color w:val="000000" w:themeColor="text1"/>
          <w:sz w:val="24"/>
          <w:szCs w:val="24"/>
          <w14:textFill>
            <w14:solidFill>
              <w14:schemeClr w14:val="tx1"/>
            </w14:solidFill>
          </w14:textFill>
        </w:rPr>
        <w:t xml:space="preserve"> mol/L氯离子标准溶液中浸泡2 h以上。</w:t>
      </w:r>
    </w:p>
    <w:p>
      <w:pPr>
        <w:pStyle w:val="24"/>
        <w:spacing w:line="360" w:lineRule="auto"/>
        <w:ind w:firstLine="480"/>
        <w:rPr>
          <w:rFonts w:ascii="Times New Roman"/>
          <w:color w:val="000000" w:themeColor="text1"/>
          <w:sz w:val="24"/>
          <w:szCs w:val="24"/>
          <w14:textFill>
            <w14:solidFill>
              <w14:schemeClr w14:val="tx1"/>
            </w14:solidFill>
          </w14:textFill>
        </w:rPr>
      </w:pPr>
      <w:r>
        <w:rPr>
          <w:rFonts w:hint="eastAsia" w:ascii="Times New Roman"/>
          <w:color w:val="000000" w:themeColor="text1"/>
          <w:sz w:val="24"/>
          <w:szCs w:val="24"/>
          <w14:textFill>
            <w14:solidFill>
              <w14:schemeClr w14:val="tx1"/>
            </w14:solidFill>
          </w14:textFill>
        </w:rPr>
        <w:t>2.</w:t>
      </w:r>
      <w:r>
        <w:rPr>
          <w:rFonts w:ascii="Times New Roman"/>
          <w:color w:val="000000" w:themeColor="text1"/>
          <w:sz w:val="24"/>
          <w:szCs w:val="24"/>
          <w14:textFill>
            <w14:solidFill>
              <w14:schemeClr w14:val="tx1"/>
            </w14:solidFill>
          </w14:textFill>
        </w:rPr>
        <w:t>5.3</w:t>
      </w:r>
      <w:r>
        <w:rPr>
          <w:rFonts w:hint="eastAsia" w:ascii="Times New Roman"/>
          <w:color w:val="000000" w:themeColor="text1"/>
          <w:sz w:val="24"/>
          <w:szCs w:val="24"/>
          <w14:textFill>
            <w14:solidFill>
              <w14:schemeClr w14:val="tx1"/>
            </w14:solidFill>
          </w14:textFill>
        </w:rPr>
        <w:t xml:space="preserve">  </w:t>
      </w:r>
      <w:r>
        <w:rPr>
          <w:rFonts w:ascii="Times New Roman"/>
          <w:color w:val="000000" w:themeColor="text1"/>
          <w:sz w:val="24"/>
          <w:szCs w:val="24"/>
          <w14:textFill>
            <w14:solidFill>
              <w14:schemeClr w14:val="tx1"/>
            </w14:solidFill>
          </w14:textFill>
        </w:rPr>
        <w:t>参比电极：双液接型饱和甘汞电极，内充饱和氯化钾溶液，外套筒内盛装饱和硝酸钾溶液。</w:t>
      </w:r>
    </w:p>
    <w:p>
      <w:pPr>
        <w:ind w:firstLine="1260" w:firstLineChars="600"/>
        <w:rPr>
          <w:rFonts w:eastAsia="宋体" w:cs="Times New Roman"/>
          <w:color w:val="000000" w:themeColor="text1"/>
          <w:sz w:val="21"/>
          <w:szCs w:val="21"/>
          <w14:textFill>
            <w14:solidFill>
              <w14:schemeClr w14:val="tx1"/>
            </w14:solidFill>
          </w14:textFill>
        </w:rPr>
      </w:pPr>
      <w:r>
        <w:rPr>
          <w:rFonts w:eastAsia="宋体" w:cs="Times New Roman"/>
          <w:color w:val="000000" w:themeColor="text1"/>
          <w:sz w:val="21"/>
          <w:szCs w:val="21"/>
          <w14:textFill>
            <w14:solidFill>
              <w14:schemeClr w14:val="tx1"/>
            </w14:solidFill>
          </w14:textFill>
        </w:rPr>
        <w:t>注1：也可以使用性能相当的氯离子复合电极。</w:t>
      </w:r>
    </w:p>
    <w:p>
      <w:pPr>
        <w:pStyle w:val="24"/>
        <w:spacing w:line="360" w:lineRule="auto"/>
        <w:ind w:firstLine="480"/>
        <w:rPr>
          <w:rFonts w:ascii="Times New Roman"/>
          <w:color w:val="000000" w:themeColor="text1"/>
          <w:sz w:val="24"/>
          <w:szCs w:val="24"/>
          <w14:textFill>
            <w14:solidFill>
              <w14:schemeClr w14:val="tx1"/>
            </w14:solidFill>
          </w14:textFill>
        </w:rPr>
      </w:pPr>
      <w:r>
        <w:rPr>
          <w:rFonts w:hint="eastAsia" w:ascii="Times New Roman"/>
          <w:color w:val="000000" w:themeColor="text1"/>
          <w:sz w:val="24"/>
          <w:szCs w:val="24"/>
          <w14:textFill>
            <w14:solidFill>
              <w14:schemeClr w14:val="tx1"/>
            </w14:solidFill>
          </w14:textFill>
        </w:rPr>
        <w:t>2.</w:t>
      </w:r>
      <w:r>
        <w:rPr>
          <w:rFonts w:ascii="Times New Roman"/>
          <w:color w:val="000000" w:themeColor="text1"/>
          <w:sz w:val="24"/>
          <w:szCs w:val="24"/>
          <w14:textFill>
            <w14:solidFill>
              <w14:schemeClr w14:val="tx1"/>
            </w14:solidFill>
          </w14:textFill>
        </w:rPr>
        <w:t>5.4</w:t>
      </w:r>
      <w:r>
        <w:rPr>
          <w:rFonts w:hint="eastAsia" w:ascii="Times New Roman"/>
          <w:color w:val="000000" w:themeColor="text1"/>
          <w:sz w:val="24"/>
          <w:szCs w:val="24"/>
          <w14:textFill>
            <w14:solidFill>
              <w14:schemeClr w14:val="tx1"/>
            </w14:solidFill>
          </w14:textFill>
        </w:rPr>
        <w:t xml:space="preserve">  </w:t>
      </w:r>
      <w:r>
        <w:rPr>
          <w:rFonts w:ascii="Times New Roman"/>
          <w:color w:val="000000" w:themeColor="text1"/>
          <w:sz w:val="24"/>
          <w:szCs w:val="24"/>
          <w14:textFill>
            <w14:solidFill>
              <w14:schemeClr w14:val="tx1"/>
            </w14:solidFill>
          </w14:textFill>
        </w:rPr>
        <w:t>电磁搅拌器：配备磁力搅拌子。</w:t>
      </w:r>
    </w:p>
    <w:p>
      <w:pPr>
        <w:pStyle w:val="24"/>
        <w:spacing w:line="360" w:lineRule="auto"/>
        <w:ind w:firstLine="480"/>
        <w:rPr>
          <w:rFonts w:ascii="Times New Roman"/>
          <w:color w:val="000000" w:themeColor="text1"/>
          <w:sz w:val="24"/>
          <w:szCs w:val="24"/>
          <w14:textFill>
            <w14:solidFill>
              <w14:schemeClr w14:val="tx1"/>
            </w14:solidFill>
          </w14:textFill>
        </w:rPr>
      </w:pPr>
      <w:r>
        <w:rPr>
          <w:rFonts w:hint="eastAsia" w:ascii="Times New Roman"/>
          <w:color w:val="000000" w:themeColor="text1"/>
          <w:sz w:val="24"/>
          <w:szCs w:val="24"/>
          <w14:textFill>
            <w14:solidFill>
              <w14:schemeClr w14:val="tx1"/>
            </w14:solidFill>
          </w14:textFill>
        </w:rPr>
        <w:t>2.</w:t>
      </w:r>
      <w:r>
        <w:rPr>
          <w:rFonts w:ascii="Times New Roman"/>
          <w:color w:val="000000" w:themeColor="text1"/>
          <w:sz w:val="24"/>
          <w:szCs w:val="24"/>
          <w14:textFill>
            <w14:solidFill>
              <w14:schemeClr w14:val="tx1"/>
            </w14:solidFill>
          </w14:textFill>
        </w:rPr>
        <w:t>5.5</w:t>
      </w:r>
      <w:r>
        <w:rPr>
          <w:rFonts w:hint="eastAsia" w:ascii="Times New Roman"/>
          <w:color w:val="000000" w:themeColor="text1"/>
          <w:sz w:val="24"/>
          <w:szCs w:val="24"/>
          <w14:textFill>
            <w14:solidFill>
              <w14:schemeClr w14:val="tx1"/>
            </w14:solidFill>
          </w14:textFill>
        </w:rPr>
        <w:t xml:space="preserve">  </w:t>
      </w:r>
      <w:r>
        <w:rPr>
          <w:rFonts w:ascii="Times New Roman"/>
          <w:color w:val="000000" w:themeColor="text1"/>
          <w:sz w:val="24"/>
          <w:szCs w:val="24"/>
          <w14:textFill>
            <w14:solidFill>
              <w14:schemeClr w14:val="tx1"/>
            </w14:solidFill>
          </w14:textFill>
        </w:rPr>
        <w:t>分析天平：感量为0.1 mg。</w:t>
      </w:r>
    </w:p>
    <w:p>
      <w:pPr>
        <w:pStyle w:val="24"/>
        <w:spacing w:line="360" w:lineRule="auto"/>
        <w:ind w:firstLine="480"/>
        <w:rPr>
          <w:color w:val="000000" w:themeColor="text1"/>
          <w14:textFill>
            <w14:solidFill>
              <w14:schemeClr w14:val="tx1"/>
            </w14:solidFill>
          </w14:textFill>
        </w:rPr>
      </w:pPr>
      <w:r>
        <w:rPr>
          <w:rFonts w:hint="eastAsia" w:ascii="Times New Roman"/>
          <w:color w:val="000000" w:themeColor="text1"/>
          <w:sz w:val="24"/>
          <w:szCs w:val="24"/>
          <w14:textFill>
            <w14:solidFill>
              <w14:schemeClr w14:val="tx1"/>
            </w14:solidFill>
          </w14:textFill>
        </w:rPr>
        <w:t>2.</w:t>
      </w:r>
      <w:r>
        <w:rPr>
          <w:rFonts w:ascii="Times New Roman"/>
          <w:color w:val="000000" w:themeColor="text1"/>
          <w:sz w:val="24"/>
          <w:szCs w:val="24"/>
          <w14:textFill>
            <w14:solidFill>
              <w14:schemeClr w14:val="tx1"/>
            </w14:solidFill>
          </w14:textFill>
        </w:rPr>
        <w:t>5.6</w:t>
      </w:r>
      <w:r>
        <w:rPr>
          <w:rFonts w:hint="eastAsia" w:ascii="Times New Roman"/>
          <w:color w:val="000000" w:themeColor="text1"/>
          <w:sz w:val="24"/>
          <w:szCs w:val="24"/>
          <w14:textFill>
            <w14:solidFill>
              <w14:schemeClr w14:val="tx1"/>
            </w14:solidFill>
          </w14:textFill>
        </w:rPr>
        <w:t xml:space="preserve">  </w:t>
      </w:r>
      <w:r>
        <w:rPr>
          <w:rFonts w:ascii="Times New Roman"/>
          <w:color w:val="000000" w:themeColor="text1"/>
          <w:sz w:val="24"/>
          <w:szCs w:val="24"/>
          <w14:textFill>
            <w14:solidFill>
              <w14:schemeClr w14:val="tx1"/>
            </w14:solidFill>
          </w14:textFill>
        </w:rPr>
        <w:t>高温电炉。</w:t>
      </w:r>
    </w:p>
    <w:p>
      <w:pPr>
        <w:pStyle w:val="48"/>
        <w:numPr>
          <w:ilvl w:val="0"/>
          <w:numId w:val="0"/>
        </w:numPr>
        <w:spacing w:beforeLines="0" w:afterLines="0" w:line="360" w:lineRule="auto"/>
        <w:rPr>
          <w:sz w:val="24"/>
          <w:szCs w:val="24"/>
        </w:rPr>
      </w:pPr>
    </w:p>
    <w:p>
      <w:pPr>
        <w:pStyle w:val="48"/>
        <w:numPr>
          <w:ilvl w:val="0"/>
          <w:numId w:val="0"/>
        </w:numPr>
        <w:spacing w:beforeLines="0" w:afterLines="0" w:line="360" w:lineRule="auto"/>
        <w:rPr>
          <w:color w:val="000000" w:themeColor="text1"/>
          <w14:textFill>
            <w14:solidFill>
              <w14:schemeClr w14:val="tx1"/>
            </w14:solidFill>
          </w14:textFill>
        </w:rPr>
      </w:pPr>
      <w:r>
        <w:rPr>
          <w:rFonts w:hint="eastAsia"/>
          <w:sz w:val="24"/>
          <w:szCs w:val="24"/>
        </w:rPr>
        <w:t>2.6分析步骤</w:t>
      </w:r>
    </w:p>
    <w:p>
      <w:pPr>
        <w:pStyle w:val="33"/>
        <w:numPr>
          <w:ilvl w:val="2"/>
          <w:numId w:val="0"/>
        </w:numPr>
        <w:spacing w:before="0" w:beforeLines="0" w:after="0" w:afterLines="0"/>
        <w:ind w:firstLine="480" w:firstLineChars="200"/>
        <w:rPr>
          <w:b w:val="0"/>
          <w:bCs w:val="0"/>
          <w:color w:val="000000" w:themeColor="text1"/>
          <w14:textFill>
            <w14:solidFill>
              <w14:schemeClr w14:val="tx1"/>
            </w14:solidFill>
          </w14:textFill>
        </w:rPr>
      </w:pPr>
      <w:r>
        <w:rPr>
          <w:b w:val="0"/>
          <w:bCs w:val="0"/>
          <w:color w:val="000000" w:themeColor="text1"/>
          <w14:textFill>
            <w14:solidFill>
              <w14:schemeClr w14:val="tx1"/>
            </w14:solidFill>
          </w14:textFill>
        </w:rPr>
        <w:t xml:space="preserve">2.6.1 </w:t>
      </w:r>
      <w:r>
        <w:rPr>
          <w:rFonts w:hint="eastAsia"/>
          <w:b w:val="0"/>
          <w:bCs w:val="0"/>
          <w:color w:val="000000" w:themeColor="text1"/>
          <w14:textFill>
            <w14:solidFill>
              <w14:schemeClr w14:val="tx1"/>
            </w14:solidFill>
          </w14:textFill>
        </w:rPr>
        <w:t xml:space="preserve"> </w:t>
      </w:r>
      <w:r>
        <w:rPr>
          <w:b w:val="0"/>
          <w:bCs w:val="0"/>
          <w:color w:val="000000" w:themeColor="text1"/>
          <w14:textFill>
            <w14:solidFill>
              <w14:schemeClr w14:val="tx1"/>
            </w14:solidFill>
          </w14:textFill>
        </w:rPr>
        <w:t>样品的测定</w:t>
      </w:r>
    </w:p>
    <w:p>
      <w:pPr>
        <w:pStyle w:val="33"/>
        <w:numPr>
          <w:ilvl w:val="2"/>
          <w:numId w:val="0"/>
        </w:numPr>
        <w:spacing w:before="0" w:beforeLines="0" w:after="0" w:afterLines="0"/>
        <w:ind w:firstLine="480" w:firstLineChars="200"/>
        <w:rPr>
          <w:b w:val="0"/>
          <w:bCs w:val="0"/>
          <w:color w:val="000000" w:themeColor="text1"/>
          <w14:textFill>
            <w14:solidFill>
              <w14:schemeClr w14:val="tx1"/>
            </w14:solidFill>
          </w14:textFill>
        </w:rPr>
      </w:pPr>
      <w:r>
        <w:rPr>
          <w:b w:val="0"/>
          <w:bCs w:val="0"/>
          <w:color w:val="000000" w:themeColor="text1"/>
          <w14:textFill>
            <w14:solidFill>
              <w14:schemeClr w14:val="tx1"/>
            </w14:solidFill>
          </w14:textFill>
        </w:rPr>
        <w:t>称取约2 g已于（270~300）℃加热至质量恒定的试样，精确至0.000 1 g，置于50 mL</w:t>
      </w:r>
      <w:r>
        <w:rPr>
          <w:rFonts w:hint="eastAsia"/>
          <w:b w:val="0"/>
          <w:bCs w:val="0"/>
          <w:color w:val="000000" w:themeColor="text1"/>
          <w14:textFill>
            <w14:solidFill>
              <w14:schemeClr w14:val="tx1"/>
            </w14:solidFill>
          </w14:textFill>
        </w:rPr>
        <w:t>容量瓶</w:t>
      </w:r>
      <w:r>
        <w:rPr>
          <w:b w:val="0"/>
          <w:bCs w:val="0"/>
          <w:color w:val="000000" w:themeColor="text1"/>
          <w14:textFill>
            <w14:solidFill>
              <w14:schemeClr w14:val="tx1"/>
            </w14:solidFill>
          </w14:textFill>
        </w:rPr>
        <w:t>中。加入5 mL硝酸溶液（</w:t>
      </w: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4.1），并根据试样情况用硝酸溶液（</w:t>
      </w: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4.1）或氢氧化钠溶液（</w:t>
      </w: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4.2）调节至pH为5～6左右，加入5 mL乙酸盐缓冲溶液（</w:t>
      </w: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4.3），用水稀释至刻度，摇匀。</w:t>
      </w:r>
      <w:r>
        <w:rPr>
          <w:rFonts w:hint="eastAsia"/>
          <w:b w:val="0"/>
          <w:bCs w:val="0"/>
          <w:color w:val="000000" w:themeColor="text1"/>
          <w14:textFill>
            <w14:solidFill>
              <w14:schemeClr w14:val="tx1"/>
            </w14:solidFill>
          </w14:textFill>
        </w:rPr>
        <w:t>将待测溶液转移至50 mL烧杯中，把工作</w:t>
      </w:r>
      <w:r>
        <w:rPr>
          <w:b w:val="0"/>
          <w:bCs w:val="0"/>
          <w:color w:val="000000" w:themeColor="text1"/>
          <w14:textFill>
            <w14:solidFill>
              <w14:schemeClr w14:val="tx1"/>
            </w14:solidFill>
          </w14:textFill>
        </w:rPr>
        <w:t>电极和参比电极插入到烧杯液面以下，加入磁力搅拌子，用电磁搅拌器匀速搅拌，使气泡不接触电极。用离子计测量电位，根据测得的电位值，通过校准曲线计算出样品中氯离子浓度。</w:t>
      </w:r>
    </w:p>
    <w:p>
      <w:pPr>
        <w:pStyle w:val="28"/>
        <w:numPr>
          <w:ilvl w:val="1"/>
          <w:numId w:val="0"/>
        </w:numPr>
        <w:spacing w:before="0" w:beforeLines="0" w:after="0" w:afterLines="0"/>
        <w:ind w:firstLine="480" w:firstLineChars="200"/>
        <w:rPr>
          <w:b w:val="0"/>
          <w:bCs w:val="0"/>
          <w:color w:val="000000" w:themeColor="text1"/>
          <w14:textFill>
            <w14:solidFill>
              <w14:schemeClr w14:val="tx1"/>
            </w14:solidFill>
          </w14:textFill>
        </w:rPr>
      </w:pP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6.2  校准曲线的绘制</w:t>
      </w:r>
    </w:p>
    <w:p>
      <w:pPr>
        <w:pStyle w:val="33"/>
        <w:numPr>
          <w:ilvl w:val="2"/>
          <w:numId w:val="0"/>
        </w:numPr>
        <w:spacing w:before="0" w:beforeLines="0" w:after="0" w:afterLines="0"/>
        <w:ind w:firstLine="480" w:firstLineChars="200"/>
        <w:rPr>
          <w:b w:val="0"/>
          <w:bCs w:val="0"/>
          <w:color w:val="000000" w:themeColor="text1"/>
          <w14:textFill>
            <w14:solidFill>
              <w14:schemeClr w14:val="tx1"/>
            </w14:solidFill>
          </w14:textFill>
        </w:rPr>
      </w:pPr>
      <w:r>
        <w:rPr>
          <w:b w:val="0"/>
          <w:bCs w:val="0"/>
          <w:color w:val="000000" w:themeColor="text1"/>
          <w14:textFill>
            <w14:solidFill>
              <w14:schemeClr w14:val="tx1"/>
            </w14:solidFill>
          </w14:textFill>
        </w:rPr>
        <w:t>分别称取2 g基准碳酸钠（</w:t>
      </w: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4.6），精确至0.000 1 g，</w:t>
      </w:r>
      <w:r>
        <w:rPr>
          <w:rFonts w:hint="eastAsia"/>
          <w:b w:val="0"/>
          <w:bCs w:val="0"/>
          <w:color w:val="000000" w:themeColor="text1"/>
          <w14:textFill>
            <w14:solidFill>
              <w14:schemeClr w14:val="tx1"/>
            </w14:solidFill>
          </w14:textFill>
        </w:rPr>
        <w:t>置于</w:t>
      </w:r>
      <w:r>
        <w:rPr>
          <w:b w:val="0"/>
          <w:bCs w:val="0"/>
          <w:color w:val="000000" w:themeColor="text1"/>
          <w14:textFill>
            <w14:solidFill>
              <w14:schemeClr w14:val="tx1"/>
            </w14:solidFill>
          </w14:textFill>
        </w:rPr>
        <w:t>6个50 mL容量瓶中，在每个容量瓶中加入5 mL硝酸溶液（</w:t>
      </w: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4.1），参照6.1调节溶液pH为5～6左右，加入5 mL乙酸盐缓冲溶液（</w:t>
      </w:r>
      <w:r>
        <w:rPr>
          <w:rFonts w:hint="eastAsia"/>
          <w:b w:val="0"/>
          <w:bCs w:val="0"/>
          <w:color w:val="000000" w:themeColor="text1"/>
          <w14:textFill>
            <w14:solidFill>
              <w14:schemeClr w14:val="tx1"/>
            </w14:solidFill>
          </w14:textFill>
        </w:rPr>
        <w:t>2.</w:t>
      </w:r>
      <w:r>
        <w:rPr>
          <w:b w:val="0"/>
          <w:bCs w:val="0"/>
          <w:color w:val="000000" w:themeColor="text1"/>
          <w14:textFill>
            <w14:solidFill>
              <w14:schemeClr w14:val="tx1"/>
            </w14:solidFill>
          </w14:textFill>
        </w:rPr>
        <w:t>4.3），然后依次加入2.5 mL、5.0 mL、10.0 mL、25.0 mL氯离子标准储备溶液（100 mg/L）和5.0 mL、25.0 mL氯离子标准溶液（1 000 mg/L），分别用超纯水稀释至刻度，摇匀，即得到氯离子标准工作系列溶液，其浓度为5 μg/mL、10 μg/mL、20 μg/mL、50 μg/mL、100 μg/mL和500 μg/mL。将上述氯离子标准工作系列溶液转移至50 mL烧杯中，将工作电极和参比电极插入到烧杯液面以下，加入磁力搅拌子，用电磁搅拌器匀速搅拌，使气泡不接触电极。用离子计从低浓度到高浓度依次测定，待读数稳定（电极电位值响应值波动不大于0.2 mV/min）后，记录电位值。以各氯离子标准工作系列溶液中氯离子浓度的对数为横坐标，以其对应的电位值为纵坐标，建立校准曲线。</w:t>
      </w:r>
    </w:p>
    <w:p>
      <w:pPr>
        <w:pStyle w:val="48"/>
        <w:numPr>
          <w:ilvl w:val="0"/>
          <w:numId w:val="0"/>
        </w:numPr>
        <w:spacing w:beforeLines="0" w:afterLines="0" w:line="360" w:lineRule="auto"/>
        <w:rPr>
          <w:sz w:val="24"/>
          <w:szCs w:val="24"/>
        </w:rPr>
      </w:pPr>
    </w:p>
    <w:p>
      <w:pPr>
        <w:pStyle w:val="48"/>
        <w:numPr>
          <w:ilvl w:val="0"/>
          <w:numId w:val="0"/>
        </w:numPr>
        <w:spacing w:beforeLines="0" w:afterLines="0" w:line="360" w:lineRule="auto"/>
        <w:rPr>
          <w:sz w:val="24"/>
          <w:szCs w:val="24"/>
        </w:rPr>
      </w:pPr>
      <w:r>
        <w:rPr>
          <w:rFonts w:hint="eastAsia"/>
          <w:sz w:val="24"/>
          <w:szCs w:val="24"/>
        </w:rPr>
        <w:t>2.7结果计算</w:t>
      </w:r>
    </w:p>
    <w:p>
      <w:pPr>
        <w:ind w:firstLine="480"/>
        <w:rPr>
          <w:rFonts w:cs="Times New Roman"/>
          <w:szCs w:val="24"/>
        </w:rPr>
      </w:pPr>
      <w:r>
        <w:rPr>
          <w:rFonts w:cs="Times New Roman"/>
          <w:szCs w:val="24"/>
        </w:rPr>
        <w:t>氯化物</w:t>
      </w:r>
      <w:r>
        <w:rPr>
          <w:rFonts w:cs="Times New Roman"/>
          <w:color w:val="000000" w:themeColor="text1"/>
          <w:szCs w:val="24"/>
          <w14:textFill>
            <w14:solidFill>
              <w14:schemeClr w14:val="tx1"/>
            </w14:solidFill>
          </w14:textFill>
        </w:rPr>
        <w:t>含量</w:t>
      </w:r>
      <w:r>
        <w:rPr>
          <w:rFonts w:cs="Times New Roman"/>
          <w:szCs w:val="24"/>
        </w:rPr>
        <w:t xml:space="preserve">以氯化钠（NaCl）的质量分数 </w:t>
      </w:r>
      <w:r>
        <w:rPr>
          <w:rFonts w:cs="Times New Roman"/>
          <w:i/>
          <w:iCs/>
          <w:szCs w:val="24"/>
        </w:rPr>
        <w:t xml:space="preserve">ω </w:t>
      </w:r>
      <w:r>
        <w:rPr>
          <w:rFonts w:cs="Times New Roman"/>
          <w:szCs w:val="24"/>
        </w:rPr>
        <w:t>计，数值以％表示，按公式（1）计算：</w:t>
      </w:r>
    </w:p>
    <w:p>
      <w:pPr>
        <w:pStyle w:val="24"/>
        <w:spacing w:line="360" w:lineRule="auto"/>
        <w:rPr>
          <w:rFonts w:ascii="Times New Roman"/>
        </w:rPr>
      </w:pPr>
      <w:r>
        <w:rPr>
          <w:rFonts w:ascii="Times New Roman"/>
          <w:i/>
          <w:iCs/>
          <w:position w:val="-66"/>
        </w:rPr>
        <w:pict>
          <v:shape id="_x0000_s1027" o:spid="_x0000_s1027" o:spt="75" type="#_x0000_t75" style="position:absolute;left:0pt;margin-left:52pt;margin-top:3.6pt;height:50.65pt;width:359.35pt;z-index:251659264;mso-width-relative:page;mso-height-relative:page;" o:ole="t" filled="f" o:preferrelative="t" stroked="f" coordsize="21600,21600">
            <v:path/>
            <v:fill on="f" focussize="0,0"/>
            <v:stroke on="f" joinstyle="miter"/>
            <v:imagedata r:id="rId9" o:title=""/>
            <o:lock v:ext="edit" aspectratio="t"/>
          </v:shape>
          <o:OLEObject Type="Embed" ProgID="Equation.3" ShapeID="_x0000_s1027" DrawAspect="Content" ObjectID="_1468075725" r:id="rId8">
            <o:LockedField>false</o:LockedField>
          </o:OLEObject>
        </w:pict>
      </w:r>
    </w:p>
    <w:p>
      <w:pPr>
        <w:pStyle w:val="24"/>
        <w:spacing w:line="360" w:lineRule="auto"/>
        <w:jc w:val="center"/>
        <w:rPr>
          <w:rFonts w:ascii="Times New Roman"/>
        </w:rPr>
      </w:pPr>
    </w:p>
    <w:p>
      <w:pPr>
        <w:ind w:firstLine="480"/>
        <w:rPr>
          <w:rFonts w:eastAsia="宋体" w:cs="Times New Roman"/>
          <w:szCs w:val="24"/>
        </w:rPr>
      </w:pPr>
      <w:r>
        <w:rPr>
          <w:rFonts w:eastAsia="宋体" w:cs="Times New Roman"/>
          <w:szCs w:val="24"/>
        </w:rPr>
        <w:t>式中：</w:t>
      </w:r>
    </w:p>
    <w:p>
      <w:pPr>
        <w:ind w:firstLine="480"/>
        <w:rPr>
          <w:rFonts w:eastAsia="宋体" w:cs="Times New Roman"/>
          <w:szCs w:val="24"/>
        </w:rPr>
      </w:pPr>
      <w:r>
        <w:rPr>
          <w:rFonts w:eastAsia="宋体" w:cs="Times New Roman"/>
          <w:i/>
          <w:iCs/>
          <w:szCs w:val="24"/>
        </w:rPr>
        <w:t>c</w:t>
      </w:r>
      <w:r>
        <w:rPr>
          <w:rFonts w:eastAsia="宋体" w:cs="Times New Roman"/>
          <w:szCs w:val="24"/>
        </w:rPr>
        <w:t>——</w:t>
      </w:r>
      <w:r>
        <w:rPr>
          <w:rFonts w:hint="eastAsia" w:cs="Times New Roman"/>
          <w:color w:val="000000" w:themeColor="text1"/>
          <w:lang w:val="en-US" w:eastAsia="zh-CN"/>
          <w14:textFill>
            <w14:solidFill>
              <w14:schemeClr w14:val="tx1"/>
            </w14:solidFill>
          </w14:textFill>
        </w:rPr>
        <w:t>样品溶液中</w:t>
      </w:r>
      <w:r>
        <w:rPr>
          <w:rFonts w:hint="default" w:ascii="Times New Roman" w:hAnsi="Times New Roman" w:eastAsia="宋体" w:cs="Times New Roman"/>
          <w:color w:val="000000" w:themeColor="text1"/>
          <w:lang w:val="en-US" w:eastAsia="zh-CN"/>
          <w14:textFill>
            <w14:solidFill>
              <w14:schemeClr w14:val="tx1"/>
            </w14:solidFill>
          </w14:textFill>
        </w:rPr>
        <w:t>氯离子</w:t>
      </w:r>
      <w:r>
        <w:rPr>
          <w:rFonts w:hint="eastAsia" w:ascii="宋体" w:hAnsi="宋体" w:eastAsia="宋体" w:cs="宋体"/>
          <w:color w:val="000000" w:themeColor="text1"/>
          <w:sz w:val="21"/>
          <w:szCs w:val="21"/>
          <w:lang w:val="en-US" w:eastAsia="zh-CN"/>
          <w14:textFill>
            <w14:solidFill>
              <w14:schemeClr w14:val="tx1"/>
            </w14:solidFill>
          </w14:textFill>
        </w:rPr>
        <w:t>浓度</w:t>
      </w:r>
      <w:r>
        <w:rPr>
          <w:rFonts w:eastAsia="宋体" w:cs="Times New Roman"/>
          <w:szCs w:val="24"/>
        </w:rPr>
        <w:t>，mg/L；</w:t>
      </w:r>
    </w:p>
    <w:p>
      <w:pPr>
        <w:ind w:firstLine="480"/>
        <w:rPr>
          <w:rFonts w:eastAsia="宋体" w:cs="Times New Roman"/>
          <w:szCs w:val="24"/>
        </w:rPr>
      </w:pPr>
      <w:r>
        <w:rPr>
          <w:rFonts w:eastAsia="宋体" w:cs="Times New Roman"/>
          <w:i/>
          <w:iCs/>
          <w:szCs w:val="24"/>
        </w:rPr>
        <w:t>V</w:t>
      </w:r>
      <w:r>
        <w:rPr>
          <w:rFonts w:eastAsia="宋体" w:cs="Times New Roman"/>
          <w:szCs w:val="24"/>
        </w:rPr>
        <w:t>——样品溶液定容的体积，mL；</w:t>
      </w:r>
    </w:p>
    <w:p>
      <w:pPr>
        <w:ind w:firstLine="480"/>
        <w:rPr>
          <w:rFonts w:eastAsia="宋体" w:cs="Times New Roman"/>
          <w:szCs w:val="24"/>
        </w:rPr>
      </w:pPr>
      <w:r>
        <w:rPr>
          <w:rFonts w:eastAsia="宋体" w:cs="Times New Roman"/>
          <w:i/>
          <w:iCs/>
          <w:szCs w:val="24"/>
        </w:rPr>
        <w:t>m</w:t>
      </w:r>
      <w:r>
        <w:rPr>
          <w:rFonts w:eastAsia="宋体" w:cs="Times New Roman"/>
          <w:szCs w:val="24"/>
        </w:rPr>
        <w:t>——样品称样量，g；</w:t>
      </w:r>
    </w:p>
    <w:p>
      <w:pPr>
        <w:ind w:firstLine="480"/>
        <w:rPr>
          <w:rFonts w:eastAsia="宋体" w:cs="Times New Roman"/>
          <w:szCs w:val="24"/>
        </w:rPr>
      </w:pPr>
      <w:r>
        <w:rPr>
          <w:rFonts w:eastAsia="宋体" w:cs="Times New Roman"/>
          <w:szCs w:val="24"/>
        </w:rPr>
        <w:t>1.66——氯离子浓度换算成氯化钠浓度的系数；</w:t>
      </w:r>
    </w:p>
    <w:p>
      <w:pPr>
        <w:ind w:firstLine="480"/>
        <w:rPr>
          <w:rFonts w:eastAsia="宋体" w:cs="Times New Roman"/>
          <w:szCs w:val="24"/>
        </w:rPr>
      </w:pPr>
      <w:r>
        <w:rPr>
          <w:rFonts w:hint="eastAsia" w:eastAsia="宋体" w:cs="Times New Roman"/>
          <w:szCs w:val="24"/>
        </w:rPr>
        <w:t>取平行测定结果的算术平均值为测定结果，在重复性条件下获得两次独立测定结果的绝对差值不得超过算术平均值的10%。</w:t>
      </w:r>
    </w:p>
    <w:p>
      <w:pPr>
        <w:ind w:firstLine="480"/>
        <w:rPr>
          <w:rFonts w:eastAsia="宋体" w:cs="Times New Roman"/>
          <w:szCs w:val="24"/>
        </w:rPr>
      </w:pPr>
    </w:p>
    <w:p>
      <w:pPr>
        <w:pStyle w:val="48"/>
        <w:numPr>
          <w:ilvl w:val="0"/>
          <w:numId w:val="0"/>
        </w:numPr>
        <w:spacing w:beforeLines="0" w:afterLines="0" w:line="360" w:lineRule="auto"/>
      </w:pPr>
      <w:r>
        <w:rPr>
          <w:rFonts w:hint="eastAsia"/>
          <w:sz w:val="24"/>
          <w:szCs w:val="24"/>
        </w:rPr>
        <w:t>2.8 结果表示</w:t>
      </w:r>
    </w:p>
    <w:p>
      <w:pPr>
        <w:pStyle w:val="24"/>
        <w:spacing w:line="360" w:lineRule="auto"/>
        <w:ind w:firstLine="480"/>
        <w:rPr>
          <w:rFonts w:ascii="Times New Roman"/>
          <w:kern w:val="2"/>
          <w:sz w:val="24"/>
          <w:szCs w:val="24"/>
        </w:rPr>
      </w:pPr>
      <w:r>
        <w:rPr>
          <w:rFonts w:ascii="Times New Roman"/>
          <w:kern w:val="2"/>
          <w:sz w:val="24"/>
          <w:szCs w:val="24"/>
        </w:rPr>
        <w:t>当测定结果小于1%时，结果保留小数点后两位；当测定结果大于或等于1%时，结果保留三位有效数字。</w:t>
      </w:r>
    </w:p>
    <w:p>
      <w:pPr>
        <w:pStyle w:val="24"/>
        <w:spacing w:line="360" w:lineRule="auto"/>
        <w:ind w:firstLine="480"/>
        <w:rPr>
          <w:rFonts w:ascii="Times New Roman"/>
          <w:kern w:val="2"/>
          <w:sz w:val="24"/>
          <w:szCs w:val="24"/>
        </w:rPr>
      </w:pPr>
    </w:p>
    <w:p>
      <w:pPr>
        <w:pStyle w:val="29"/>
        <w:numPr>
          <w:ilvl w:val="0"/>
          <w:numId w:val="7"/>
        </w:numPr>
        <w:tabs>
          <w:tab w:val="left" w:pos="337"/>
          <w:tab w:val="left" w:pos="665"/>
        </w:tabs>
        <w:adjustRightInd w:val="0"/>
        <w:snapToGrid w:val="0"/>
        <w:ind w:firstLine="0" w:firstLineChars="0"/>
        <w:jc w:val="left"/>
        <w:outlineLvl w:val="2"/>
        <w:rPr>
          <w:rFonts w:ascii="黑体" w:hAnsi="黑体" w:eastAsia="黑体" w:cs="黑体"/>
          <w:w w:val="105"/>
          <w:szCs w:val="24"/>
        </w:rPr>
      </w:pPr>
      <w:bookmarkStart w:id="10" w:name="_Toc26629"/>
      <w:r>
        <w:rPr>
          <w:rFonts w:hint="eastAsia" w:ascii="黑体" w:hAnsi="黑体" w:eastAsia="黑体" w:cs="黑体"/>
          <w:sz w:val="28"/>
          <w:szCs w:val="28"/>
        </w:rPr>
        <w:t>实验结果与方法验证</w:t>
      </w:r>
    </w:p>
    <w:p>
      <w:pPr>
        <w:pStyle w:val="29"/>
        <w:tabs>
          <w:tab w:val="left" w:pos="337"/>
          <w:tab w:val="left" w:pos="665"/>
        </w:tabs>
        <w:adjustRightInd w:val="0"/>
        <w:snapToGrid w:val="0"/>
        <w:ind w:firstLine="0" w:firstLineChars="0"/>
        <w:jc w:val="left"/>
        <w:outlineLvl w:val="2"/>
        <w:rPr>
          <w:rFonts w:ascii="黑体" w:hAnsi="黑体" w:eastAsia="黑体" w:cs="黑体"/>
          <w:w w:val="105"/>
          <w:szCs w:val="24"/>
        </w:rPr>
      </w:pPr>
      <w:r>
        <w:rPr>
          <w:rFonts w:hint="eastAsia" w:ascii="黑体" w:hAnsi="黑体" w:eastAsia="黑体" w:cs="黑体"/>
          <w:w w:val="105"/>
          <w:szCs w:val="24"/>
        </w:rPr>
        <w:t>3.1 pH值对检测结果的影响</w:t>
      </w:r>
      <w:bookmarkEnd w:id="10"/>
    </w:p>
    <w:p>
      <w:pPr>
        <w:ind w:firstLine="480"/>
        <w:rPr>
          <w:rFonts w:eastAsia="宋体" w:cs="Times New Roman"/>
          <w:szCs w:val="24"/>
        </w:rPr>
      </w:pPr>
      <w:r>
        <w:rPr>
          <w:rFonts w:eastAsia="宋体" w:cs="Times New Roman"/>
          <w:szCs w:val="24"/>
        </w:rPr>
        <w:t>按照</w:t>
      </w:r>
      <w:r>
        <w:rPr>
          <w:rFonts w:hint="eastAsia" w:eastAsia="宋体" w:cs="Times New Roman"/>
          <w:szCs w:val="24"/>
        </w:rPr>
        <w:t>2.6</w:t>
      </w:r>
      <w:r>
        <w:rPr>
          <w:rFonts w:eastAsia="宋体" w:cs="Times New Roman"/>
          <w:szCs w:val="24"/>
        </w:rPr>
        <w:t>.2步骤，配制7组浓度为10 μg/mL的氯离子标准工作溶液，在定容前，用硝酸溶液（1+1）或氢氧化钠溶液（100 g/L）调节上述7个氯离子标准工作溶液的pH值依次为4.0±0.1、5.0±0.1、6.0±0.1、7.0±0.1、8.0±0.1、9.0±0.1和10.0±0.1，然后分别进行测试，每组数据测定6次，以平均值为最终结果，测试数据详见表</w:t>
      </w:r>
      <w:r>
        <w:rPr>
          <w:rFonts w:hint="eastAsia" w:eastAsia="宋体" w:cs="Times New Roman"/>
          <w:szCs w:val="24"/>
        </w:rPr>
        <w:t>2</w:t>
      </w:r>
      <w:r>
        <w:rPr>
          <w:rFonts w:eastAsia="宋体" w:cs="Times New Roman"/>
          <w:szCs w:val="24"/>
        </w:rPr>
        <w:t>。从这些数据可以看出，氯离子在pH为4~6的范围内变化不大，在pH为5~6的范围内最接近理论值，而在pH为8~10的碱性条件下，与实际值则相差较大。因此pH控制在5~6的范围内最为适宜。</w:t>
      </w:r>
    </w:p>
    <w:p>
      <w:pPr>
        <w:ind w:firstLine="480"/>
        <w:jc w:val="center"/>
        <w:rPr>
          <w:rFonts w:ascii="黑体" w:hAnsi="黑体" w:eastAsia="黑体" w:cs="黑体"/>
          <w:szCs w:val="24"/>
        </w:rPr>
      </w:pPr>
      <w:r>
        <w:rPr>
          <w:rFonts w:hint="eastAsia" w:ascii="黑体" w:hAnsi="黑体" w:eastAsia="黑体" w:cs="黑体"/>
          <w:szCs w:val="24"/>
        </w:rPr>
        <w:t>表2 不同pH值的对测试结果的影响（n=6）</w:t>
      </w:r>
    </w:p>
    <w:tbl>
      <w:tblPr>
        <w:tblStyle w:val="16"/>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59"/>
        <w:gridCol w:w="1024"/>
        <w:gridCol w:w="1024"/>
        <w:gridCol w:w="1023"/>
        <w:gridCol w:w="1023"/>
        <w:gridCol w:w="1023"/>
        <w:gridCol w:w="1023"/>
        <w:gridCol w:w="102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 w:hRule="atLeast"/>
        </w:trPr>
        <w:tc>
          <w:tcPr>
            <w:tcW w:w="797"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pH值</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4.1</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4.9</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6.0</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7.1</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8.0</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9.1</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797" w:type="pct"/>
            <w:tcBorders>
              <w:top w:val="single" w:color="auto" w:sz="6" w:space="0"/>
              <w:tl2br w:val="nil"/>
              <w:tr2bl w:val="nil"/>
            </w:tcBorders>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电位值（mV）</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122.13</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120.64</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121.63</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119.24</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118.35</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117.28</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115.85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97" w:type="pct"/>
            <w:tcBorders>
              <w:tl2br w:val="nil"/>
              <w:tr2bl w:val="nil"/>
            </w:tcBorders>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氯离子浓度（</w:t>
            </w:r>
            <w:r>
              <w:rPr>
                <w:color w:val="000000" w:themeColor="text1"/>
                <w:sz w:val="21"/>
                <w:szCs w:val="21"/>
                <w14:textFill>
                  <w14:solidFill>
                    <w14:schemeClr w14:val="tx1"/>
                  </w14:solidFill>
                </w14:textFill>
              </w:rPr>
              <w:t>μg/mL</w:t>
            </w:r>
            <w:r>
              <w:rPr>
                <w:rFonts w:hint="eastAsia"/>
                <w:color w:val="000000" w:themeColor="text1"/>
                <w:sz w:val="21"/>
                <w:szCs w:val="21"/>
                <w14:textFill>
                  <w14:solidFill>
                    <w14:schemeClr w14:val="tx1"/>
                  </w14:solidFill>
                </w14:textFill>
              </w:rPr>
              <w:t>）</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9.6</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10.2</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9.8</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10.8</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11.2</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11.7</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12.4</w:t>
            </w:r>
          </w:p>
        </w:tc>
      </w:tr>
    </w:tbl>
    <w:p>
      <w:pPr>
        <w:pStyle w:val="29"/>
        <w:tabs>
          <w:tab w:val="left" w:pos="337"/>
          <w:tab w:val="left" w:pos="665"/>
        </w:tabs>
        <w:adjustRightInd w:val="0"/>
        <w:snapToGrid w:val="0"/>
        <w:spacing w:after="156" w:afterLines="50"/>
        <w:ind w:firstLine="0" w:firstLineChars="0"/>
        <w:jc w:val="left"/>
        <w:outlineLvl w:val="2"/>
        <w:rPr>
          <w:rFonts w:eastAsia="黑体" w:cs="Times New Roman"/>
          <w:w w:val="105"/>
          <w:szCs w:val="24"/>
        </w:rPr>
      </w:pPr>
      <w:bookmarkStart w:id="11" w:name="_Toc839"/>
    </w:p>
    <w:p>
      <w:pPr>
        <w:pStyle w:val="29"/>
        <w:tabs>
          <w:tab w:val="left" w:pos="337"/>
          <w:tab w:val="left" w:pos="665"/>
        </w:tabs>
        <w:adjustRightInd w:val="0"/>
        <w:snapToGrid w:val="0"/>
        <w:ind w:firstLine="0" w:firstLineChars="0"/>
        <w:jc w:val="left"/>
        <w:outlineLvl w:val="2"/>
        <w:rPr>
          <w:rFonts w:eastAsia="黑体" w:cs="Times New Roman"/>
          <w:w w:val="105"/>
          <w:szCs w:val="24"/>
        </w:rPr>
      </w:pPr>
      <w:r>
        <w:rPr>
          <w:rFonts w:hint="eastAsia" w:eastAsia="黑体" w:cs="Times New Roman"/>
          <w:w w:val="105"/>
          <w:szCs w:val="24"/>
        </w:rPr>
        <w:t>3.2 温度对检测结果的影响</w:t>
      </w:r>
      <w:bookmarkEnd w:id="11"/>
    </w:p>
    <w:p>
      <w:pPr>
        <w:ind w:firstLine="480"/>
        <w:rPr>
          <w:rFonts w:eastAsia="宋体" w:cs="Times New Roman"/>
          <w:szCs w:val="24"/>
        </w:rPr>
      </w:pPr>
      <w:r>
        <w:rPr>
          <w:rFonts w:eastAsia="宋体" w:cs="Times New Roman"/>
          <w:szCs w:val="24"/>
        </w:rPr>
        <w:t>按照</w:t>
      </w:r>
      <w:r>
        <w:rPr>
          <w:rFonts w:hint="eastAsia" w:eastAsia="宋体" w:cs="Times New Roman"/>
          <w:szCs w:val="24"/>
        </w:rPr>
        <w:t>2.6</w:t>
      </w:r>
      <w:r>
        <w:rPr>
          <w:rFonts w:eastAsia="宋体" w:cs="Times New Roman"/>
          <w:szCs w:val="24"/>
        </w:rPr>
        <w:t>.2步骤，配制6组浓度为10 μg/mL的氯离子标准工作溶液，在测试前，用控温电磁搅拌器将待测氯离子标准工作溶液的温度维持在15℃、20℃、25℃、30℃、35℃、和40℃，然后分别进行测试，每组数据测定6次，以平均值为最终结果，测试数据详见表</w:t>
      </w:r>
      <w:r>
        <w:rPr>
          <w:rFonts w:hint="eastAsia" w:eastAsia="宋体" w:cs="Times New Roman"/>
          <w:szCs w:val="24"/>
        </w:rPr>
        <w:t>3</w:t>
      </w:r>
      <w:r>
        <w:rPr>
          <w:rFonts w:eastAsia="宋体" w:cs="Times New Roman"/>
          <w:szCs w:val="24"/>
        </w:rPr>
        <w:t>。实验结果表明，温度对测试结果有一定的影响，随着温度的升高，氯离子测试浓度随之升高，因此为了保证结果的准确性，在测定标准溶液和样品时，要保证测量时段温度恒定，前后温差最好控制在±5℃范围内，就可以有效抵消由温度变动对结果造成的影响。</w:t>
      </w:r>
    </w:p>
    <w:p>
      <w:pPr>
        <w:ind w:firstLine="480"/>
        <w:jc w:val="center"/>
        <w:rPr>
          <w:rFonts w:ascii="黑体" w:hAnsi="黑体" w:eastAsia="黑体" w:cs="黑体"/>
          <w:szCs w:val="24"/>
        </w:rPr>
      </w:pPr>
      <w:r>
        <w:rPr>
          <w:rFonts w:hint="eastAsia" w:ascii="黑体" w:hAnsi="黑体" w:eastAsia="黑体" w:cs="黑体"/>
          <w:szCs w:val="24"/>
        </w:rPr>
        <w:t>表3 不同温度对测试结果的影响（n=6）</w:t>
      </w:r>
    </w:p>
    <w:tbl>
      <w:tblPr>
        <w:tblStyle w:val="16"/>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71"/>
        <w:gridCol w:w="1023"/>
        <w:gridCol w:w="1231"/>
        <w:gridCol w:w="1231"/>
        <w:gridCol w:w="1222"/>
        <w:gridCol w:w="1222"/>
        <w:gridCol w:w="122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804"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温度</w:t>
            </w:r>
          </w:p>
        </w:tc>
        <w:tc>
          <w:tcPr>
            <w:tcW w:w="600"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15℃</w:t>
            </w:r>
          </w:p>
        </w:tc>
        <w:tc>
          <w:tcPr>
            <w:tcW w:w="721"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20℃</w:t>
            </w:r>
          </w:p>
        </w:tc>
        <w:tc>
          <w:tcPr>
            <w:tcW w:w="721"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25℃</w:t>
            </w:r>
          </w:p>
        </w:tc>
        <w:tc>
          <w:tcPr>
            <w:tcW w:w="716"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30℃</w:t>
            </w:r>
          </w:p>
        </w:tc>
        <w:tc>
          <w:tcPr>
            <w:tcW w:w="716"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35℃</w:t>
            </w:r>
          </w:p>
        </w:tc>
        <w:tc>
          <w:tcPr>
            <w:tcW w:w="716" w:type="pct"/>
            <w:tcBorders>
              <w:bottom w:val="single" w:color="auto" w:sz="6" w:space="0"/>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804" w:type="pct"/>
            <w:tcBorders>
              <w:top w:val="single" w:color="auto" w:sz="6" w:space="0"/>
              <w:tl2br w:val="nil"/>
              <w:tr2bl w:val="nil"/>
            </w:tcBorders>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电位值</w:t>
            </w:r>
            <w:r>
              <w:rPr>
                <w:rFonts w:hint="eastAsia"/>
                <w:i/>
                <w:iCs/>
                <w:color w:val="000000" w:themeColor="text1"/>
                <w:sz w:val="21"/>
                <w:szCs w:val="21"/>
                <w14:textFill>
                  <w14:solidFill>
                    <w14:schemeClr w14:val="tx1"/>
                  </w14:solidFill>
                </w14:textFill>
              </w:rPr>
              <w:t>E</w:t>
            </w:r>
            <w:r>
              <w:rPr>
                <w:rFonts w:hint="eastAsia"/>
                <w:color w:val="000000" w:themeColor="text1"/>
                <w:sz w:val="21"/>
                <w:szCs w:val="21"/>
                <w14:textFill>
                  <w14:solidFill>
                    <w14:schemeClr w14:val="tx1"/>
                  </w14:solidFill>
                </w14:textFill>
              </w:rPr>
              <w:t>（mV）</w:t>
            </w:r>
          </w:p>
        </w:tc>
        <w:tc>
          <w:tcPr>
            <w:tcW w:w="600"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122.13 </w:t>
            </w:r>
          </w:p>
        </w:tc>
        <w:tc>
          <w:tcPr>
            <w:tcW w:w="721"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120.64 </w:t>
            </w:r>
          </w:p>
        </w:tc>
        <w:tc>
          <w:tcPr>
            <w:tcW w:w="721"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121.63 </w:t>
            </w:r>
          </w:p>
        </w:tc>
        <w:tc>
          <w:tcPr>
            <w:tcW w:w="716"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119.24 </w:t>
            </w:r>
          </w:p>
        </w:tc>
        <w:tc>
          <w:tcPr>
            <w:tcW w:w="716"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118.35 </w:t>
            </w:r>
          </w:p>
        </w:tc>
        <w:tc>
          <w:tcPr>
            <w:tcW w:w="716" w:type="pct"/>
            <w:tcBorders>
              <w:top w:val="single" w:color="auto" w:sz="6" w:space="0"/>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117.28 </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804" w:type="pct"/>
            <w:tcBorders>
              <w:tl2br w:val="nil"/>
              <w:tr2bl w:val="nil"/>
            </w:tcBorders>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氯离子浓度（</w:t>
            </w:r>
            <w:r>
              <w:rPr>
                <w:color w:val="000000" w:themeColor="text1"/>
                <w:sz w:val="21"/>
                <w:szCs w:val="21"/>
                <w14:textFill>
                  <w14:solidFill>
                    <w14:schemeClr w14:val="tx1"/>
                  </w14:solidFill>
                </w14:textFill>
              </w:rPr>
              <w:t>μg/mL</w:t>
            </w:r>
            <w:r>
              <w:rPr>
                <w:rFonts w:hint="eastAsia"/>
                <w:color w:val="000000" w:themeColor="text1"/>
                <w:sz w:val="21"/>
                <w:szCs w:val="21"/>
                <w14:textFill>
                  <w14:solidFill>
                    <w14:schemeClr w14:val="tx1"/>
                  </w14:solidFill>
                </w14:textFill>
              </w:rPr>
              <w:t>）</w:t>
            </w:r>
          </w:p>
        </w:tc>
        <w:tc>
          <w:tcPr>
            <w:tcW w:w="600"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9.6</w:t>
            </w:r>
          </w:p>
        </w:tc>
        <w:tc>
          <w:tcPr>
            <w:tcW w:w="721"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10.2</w:t>
            </w:r>
          </w:p>
        </w:tc>
        <w:tc>
          <w:tcPr>
            <w:tcW w:w="721"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9.8</w:t>
            </w:r>
          </w:p>
        </w:tc>
        <w:tc>
          <w:tcPr>
            <w:tcW w:w="716"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10.8</w:t>
            </w:r>
          </w:p>
        </w:tc>
        <w:tc>
          <w:tcPr>
            <w:tcW w:w="716"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11.2</w:t>
            </w:r>
          </w:p>
        </w:tc>
        <w:tc>
          <w:tcPr>
            <w:tcW w:w="716" w:type="pct"/>
            <w:tcBorders>
              <w:tl2br w:val="nil"/>
              <w:tr2bl w:val="nil"/>
            </w:tcBorders>
            <w:vAlign w:val="center"/>
          </w:tcPr>
          <w:p>
            <w:pPr>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11.7</w:t>
            </w:r>
          </w:p>
        </w:tc>
      </w:tr>
    </w:tbl>
    <w:p>
      <w:pPr>
        <w:pStyle w:val="29"/>
        <w:ind w:firstLine="0" w:firstLineChars="0"/>
        <w:outlineLvl w:val="2"/>
        <w:rPr>
          <w:rFonts w:ascii="黑体" w:hAnsi="黑体" w:eastAsia="黑体" w:cs="黑体"/>
        </w:rPr>
      </w:pPr>
      <w:bookmarkStart w:id="12" w:name="_Toc21212"/>
    </w:p>
    <w:p>
      <w:pPr>
        <w:pStyle w:val="29"/>
        <w:ind w:firstLine="0" w:firstLineChars="0"/>
        <w:outlineLvl w:val="2"/>
        <w:rPr>
          <w:rFonts w:ascii="黑体" w:hAnsi="黑体" w:eastAsia="黑体" w:cs="黑体"/>
        </w:rPr>
      </w:pPr>
    </w:p>
    <w:p>
      <w:pPr>
        <w:pStyle w:val="29"/>
        <w:ind w:firstLine="0" w:firstLineChars="0"/>
        <w:outlineLvl w:val="2"/>
        <w:rPr>
          <w:rFonts w:ascii="黑体" w:hAnsi="黑体" w:eastAsia="黑体" w:cs="黑体"/>
          <w:szCs w:val="24"/>
        </w:rPr>
      </w:pPr>
      <w:r>
        <w:rPr>
          <w:rFonts w:hint="eastAsia" w:ascii="黑体" w:hAnsi="黑体" w:eastAsia="黑体" w:cs="黑体"/>
        </w:rPr>
        <w:t xml:space="preserve">3.3 </w:t>
      </w:r>
      <w:r>
        <w:rPr>
          <w:rFonts w:hint="eastAsia" w:ascii="黑体" w:hAnsi="黑体" w:eastAsia="黑体" w:cs="黑体"/>
          <w:szCs w:val="24"/>
        </w:rPr>
        <w:t>线性范围</w:t>
      </w:r>
      <w:bookmarkEnd w:id="12"/>
    </w:p>
    <w:p>
      <w:pPr>
        <w:pStyle w:val="33"/>
        <w:numPr>
          <w:ilvl w:val="2"/>
          <w:numId w:val="0"/>
        </w:numPr>
        <w:spacing w:before="0" w:beforeLines="0" w:after="0" w:afterLines="0"/>
        <w:ind w:firstLine="480" w:firstLineChars="200"/>
        <w:rPr>
          <w:rFonts w:ascii="黑体" w:hAnsi="黑体" w:eastAsia="黑体" w:cs="黑体"/>
          <w:b w:val="0"/>
          <w:bCs w:val="0"/>
        </w:rPr>
      </w:pPr>
      <w:r>
        <w:rPr>
          <w:b w:val="0"/>
          <w:bCs w:val="0"/>
        </w:rPr>
        <w:t>按照</w:t>
      </w:r>
      <w:r>
        <w:rPr>
          <w:rFonts w:hint="eastAsia"/>
          <w:b w:val="0"/>
          <w:bCs w:val="0"/>
        </w:rPr>
        <w:t>2.6.2</w:t>
      </w:r>
      <w:r>
        <w:rPr>
          <w:b w:val="0"/>
          <w:bCs w:val="0"/>
        </w:rPr>
        <w:t>步骤，配制</w:t>
      </w:r>
      <w:r>
        <w:rPr>
          <w:rFonts w:hint="eastAsia"/>
          <w:b w:val="0"/>
          <w:bCs w:val="0"/>
        </w:rPr>
        <w:t>浓度为</w:t>
      </w:r>
      <w:r>
        <w:rPr>
          <w:b w:val="0"/>
          <w:bCs w:val="0"/>
        </w:rPr>
        <w:t>5 μg/mL、10 μg/mL、20 μg/mL、50 μg/mL、100 μg/mL和500 μg/mL</w:t>
      </w:r>
      <w:r>
        <w:rPr>
          <w:rFonts w:hint="eastAsia"/>
          <w:b w:val="0"/>
          <w:bCs w:val="0"/>
        </w:rPr>
        <w:t>的</w:t>
      </w:r>
      <w:r>
        <w:rPr>
          <w:b w:val="0"/>
          <w:bCs w:val="0"/>
        </w:rPr>
        <w:t>氯离子标准工作系列溶液</w:t>
      </w:r>
      <w:r>
        <w:rPr>
          <w:rFonts w:hint="eastAsia"/>
          <w:b w:val="0"/>
          <w:bCs w:val="0"/>
          <w:color w:val="000000" w:themeColor="text1"/>
          <w14:textFill>
            <w14:solidFill>
              <w14:schemeClr w14:val="tx1"/>
            </w14:solidFill>
          </w14:textFill>
        </w:rPr>
        <w:t>，</w:t>
      </w:r>
      <w:r>
        <w:rPr>
          <w:b w:val="0"/>
          <w:bCs w:val="0"/>
          <w:color w:val="000000" w:themeColor="text1"/>
          <w14:textFill>
            <w14:solidFill>
              <w14:schemeClr w14:val="tx1"/>
            </w14:solidFill>
          </w14:textFill>
        </w:rPr>
        <w:t>从低浓度到高浓度依次测定</w:t>
      </w:r>
      <w:r>
        <w:rPr>
          <w:rFonts w:hint="eastAsia"/>
          <w:b w:val="0"/>
          <w:bCs w:val="0"/>
          <w:color w:val="000000" w:themeColor="text1"/>
          <w14:textFill>
            <w14:solidFill>
              <w14:schemeClr w14:val="tx1"/>
            </w14:solidFill>
          </w14:textFill>
        </w:rPr>
        <w:t>。</w:t>
      </w:r>
      <w:r>
        <w:rPr>
          <w:b w:val="0"/>
          <w:bCs w:val="0"/>
          <w:color w:val="000000" w:themeColor="text1"/>
          <w14:textFill>
            <w14:solidFill>
              <w14:schemeClr w14:val="tx1"/>
            </w14:solidFill>
          </w14:textFill>
        </w:rPr>
        <w:t>以各氯离子标准工作系列溶液中氯离子浓度为横坐标，以其对应的电位</w:t>
      </w:r>
      <w:r>
        <w:rPr>
          <w:rFonts w:hint="eastAsia"/>
          <w:b w:val="0"/>
          <w:bCs w:val="0"/>
          <w:color w:val="000000" w:themeColor="text1"/>
          <w14:textFill>
            <w14:solidFill>
              <w14:schemeClr w14:val="tx1"/>
            </w14:solidFill>
          </w14:textFill>
        </w:rPr>
        <w:t>值</w:t>
      </w:r>
      <w:r>
        <w:rPr>
          <w:b w:val="0"/>
          <w:bCs w:val="0"/>
          <w:color w:val="000000" w:themeColor="text1"/>
          <w14:textFill>
            <w14:solidFill>
              <w14:schemeClr w14:val="tx1"/>
            </w14:solidFill>
          </w14:textFill>
        </w:rPr>
        <w:t>为纵坐标，</w:t>
      </w:r>
      <w:r>
        <w:rPr>
          <w:rFonts w:hint="eastAsia"/>
          <w:b w:val="0"/>
          <w:bCs w:val="0"/>
          <w:color w:val="000000" w:themeColor="text1"/>
          <w:lang w:val="en-US" w:eastAsia="zh-CN"/>
          <w14:textFill>
            <w14:solidFill>
              <w14:schemeClr w14:val="tx1"/>
            </w14:solidFill>
          </w14:textFill>
        </w:rPr>
        <w:t>在半对数坐标系中</w:t>
      </w:r>
      <w:r>
        <w:rPr>
          <w:b w:val="0"/>
          <w:bCs w:val="0"/>
          <w:color w:val="000000" w:themeColor="text1"/>
          <w14:textFill>
            <w14:solidFill>
              <w14:schemeClr w14:val="tx1"/>
            </w14:solidFill>
          </w14:textFill>
        </w:rPr>
        <w:t>建立校准曲线</w:t>
      </w:r>
      <w:r>
        <w:rPr>
          <w:rFonts w:hint="eastAsia"/>
          <w:b w:val="0"/>
          <w:bCs w:val="0"/>
          <w:color w:val="000000" w:themeColor="text1"/>
          <w:lang w:eastAsia="zh-CN"/>
          <w14:textFill>
            <w14:solidFill>
              <w14:schemeClr w14:val="tx1"/>
            </w14:solidFill>
          </w14:textFill>
        </w:rPr>
        <w:t>（</w:t>
      </w:r>
      <w:r>
        <w:rPr>
          <w:rFonts w:hint="eastAsia"/>
          <w:b w:val="0"/>
          <w:bCs w:val="0"/>
          <w:color w:val="000000" w:themeColor="text1"/>
          <w:lang w:val="en-US" w:eastAsia="zh-CN"/>
          <w14:textFill>
            <w14:solidFill>
              <w14:schemeClr w14:val="tx1"/>
            </w14:solidFill>
          </w14:textFill>
        </w:rPr>
        <w:t>或以氯离子浓度的对数为横坐标，以其对应的电位值为纵坐标，建立校准曲线</w:t>
      </w:r>
      <w:r>
        <w:rPr>
          <w:rFonts w:hint="eastAsia"/>
          <w:b w:val="0"/>
          <w:bCs w:val="0"/>
          <w:color w:val="000000" w:themeColor="text1"/>
          <w:lang w:eastAsia="zh-CN"/>
          <w14:textFill>
            <w14:solidFill>
              <w14:schemeClr w14:val="tx1"/>
            </w14:solidFill>
          </w14:textFill>
        </w:rPr>
        <w:t>）</w:t>
      </w:r>
      <w:r>
        <w:rPr>
          <w:b w:val="0"/>
          <w:bCs w:val="0"/>
          <w:color w:val="000000" w:themeColor="text1"/>
          <w14:textFill>
            <w14:solidFill>
              <w14:schemeClr w14:val="tx1"/>
            </w14:solidFill>
          </w14:textFill>
        </w:rPr>
        <w:t>。</w:t>
      </w:r>
      <w:r>
        <w:rPr>
          <w:rFonts w:hint="eastAsia"/>
          <w:b w:val="0"/>
          <w:bCs w:val="0"/>
          <w:color w:val="000000" w:themeColor="text1"/>
          <w14:textFill>
            <w14:solidFill>
              <w14:schemeClr w14:val="tx1"/>
            </w14:solidFill>
          </w14:textFill>
        </w:rPr>
        <w:t>校准曲线方程为y=-56.</w:t>
      </w:r>
      <w:r>
        <w:rPr>
          <w:b w:val="0"/>
          <w:bCs w:val="0"/>
          <w:color w:val="000000" w:themeColor="text1"/>
          <w14:textFill>
            <w14:solidFill>
              <w14:schemeClr w14:val="tx1"/>
            </w14:solidFill>
          </w14:textFill>
        </w:rPr>
        <w:t>24</w:t>
      </w:r>
      <w:r>
        <w:rPr>
          <w:rFonts w:hint="eastAsia"/>
          <w:b w:val="0"/>
          <w:bCs w:val="0"/>
          <w:color w:val="000000" w:themeColor="text1"/>
          <w14:textFill>
            <w14:solidFill>
              <w14:schemeClr w14:val="tx1"/>
            </w14:solidFill>
          </w14:textFill>
        </w:rPr>
        <w:t>x+17</w:t>
      </w:r>
      <w:r>
        <w:rPr>
          <w:b w:val="0"/>
          <w:bCs w:val="0"/>
          <w:color w:val="000000" w:themeColor="text1"/>
          <w14:textFill>
            <w14:solidFill>
              <w14:schemeClr w14:val="tx1"/>
            </w14:solidFill>
          </w14:textFill>
        </w:rPr>
        <w:t>7.2</w:t>
      </w:r>
      <w:r>
        <w:rPr>
          <w:rFonts w:hint="eastAsia"/>
          <w:b w:val="0"/>
          <w:bCs w:val="0"/>
          <w:color w:val="000000" w:themeColor="text1"/>
          <w14:textFill>
            <w14:solidFill>
              <w14:schemeClr w14:val="tx1"/>
            </w14:solidFill>
          </w14:textFill>
        </w:rPr>
        <w:t>，相关系数R</w:t>
      </w:r>
      <w:r>
        <w:rPr>
          <w:rFonts w:hint="eastAsia"/>
          <w:b w:val="0"/>
          <w:bCs w:val="0"/>
          <w:color w:val="000000" w:themeColor="text1"/>
          <w:vertAlign w:val="superscript"/>
          <w14:textFill>
            <w14:solidFill>
              <w14:schemeClr w14:val="tx1"/>
            </w14:solidFill>
          </w14:textFill>
        </w:rPr>
        <w:t>2</w:t>
      </w:r>
      <w:r>
        <w:rPr>
          <w:rFonts w:hint="eastAsia"/>
          <w:b w:val="0"/>
          <w:bCs w:val="0"/>
          <w:color w:val="000000" w:themeColor="text1"/>
          <w14:textFill>
            <w14:solidFill>
              <w14:schemeClr w14:val="tx1"/>
            </w14:solidFill>
          </w14:textFill>
        </w:rPr>
        <w:t>=</w:t>
      </w:r>
      <w:r>
        <w:rPr>
          <w:b w:val="0"/>
          <w:bCs w:val="0"/>
          <w:color w:val="000000" w:themeColor="text1"/>
          <w14:textFill>
            <w14:solidFill>
              <w14:schemeClr w14:val="tx1"/>
            </w14:solidFill>
          </w14:textFill>
        </w:rPr>
        <w:t>0.9994</w:t>
      </w:r>
      <w:r>
        <w:rPr>
          <w:rFonts w:hint="eastAsia"/>
          <w:b w:val="0"/>
          <w:bCs w:val="0"/>
          <w:color w:val="000000" w:themeColor="text1"/>
          <w14:textFill>
            <w14:solidFill>
              <w14:schemeClr w14:val="tx1"/>
            </w14:solidFill>
          </w14:textFill>
        </w:rPr>
        <w:t>。氯离子校准曲线图见图2</w:t>
      </w:r>
      <w:r>
        <w:rPr>
          <w:rFonts w:hint="eastAsia"/>
          <w:b w:val="0"/>
          <w:bCs w:val="0"/>
          <w:color w:val="000000" w:themeColor="text1"/>
          <w:lang w:eastAsia="zh-CN"/>
          <w14:textFill>
            <w14:solidFill>
              <w14:schemeClr w14:val="tx1"/>
            </w14:solidFill>
          </w14:textFill>
        </w:rPr>
        <w:t>（</w:t>
      </w:r>
      <w:r>
        <w:rPr>
          <w:rFonts w:hint="eastAsia"/>
          <w:b w:val="0"/>
          <w:bCs w:val="0"/>
          <w:color w:val="000000" w:themeColor="text1"/>
          <w:lang w:val="en-US" w:eastAsia="zh-CN"/>
          <w14:textFill>
            <w14:solidFill>
              <w14:schemeClr w14:val="tx1"/>
            </w14:solidFill>
          </w14:textFill>
        </w:rPr>
        <w:t>半对数坐标图</w:t>
      </w:r>
      <w:r>
        <w:rPr>
          <w:rFonts w:hint="eastAsia"/>
          <w:b w:val="0"/>
          <w:bCs w:val="0"/>
          <w:color w:val="000000" w:themeColor="text1"/>
          <w:lang w:eastAsia="zh-CN"/>
          <w14:textFill>
            <w14:solidFill>
              <w14:schemeClr w14:val="tx1"/>
            </w14:solidFill>
          </w14:textFill>
        </w:rPr>
        <w:t>）</w:t>
      </w:r>
      <w:r>
        <w:rPr>
          <w:rFonts w:hint="eastAsia"/>
          <w:b w:val="0"/>
          <w:bCs w:val="0"/>
          <w:color w:val="000000" w:themeColor="text1"/>
          <w14:textFill>
            <w14:solidFill>
              <w14:schemeClr w14:val="tx1"/>
            </w14:solidFill>
          </w14:textFill>
        </w:rPr>
        <w:t>，校准曲线数据见表4。</w:t>
      </w:r>
    </w:p>
    <w:p>
      <w:pPr>
        <w:ind w:firstLine="0" w:firstLineChars="0"/>
        <w:jc w:val="center"/>
        <w:rPr>
          <w:rFonts w:eastAsia="宋体"/>
        </w:rPr>
      </w:pPr>
      <w:r>
        <w:rPr>
          <w:rFonts w:hint="eastAsia" w:eastAsia="宋体"/>
        </w:rPr>
        <w:drawing>
          <wp:inline distT="0" distB="0" distL="114300" distR="114300">
            <wp:extent cx="5661025" cy="3277870"/>
            <wp:effectExtent l="0" t="0" r="0" b="0"/>
            <wp:docPr id="1" name="图片 1" descr="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14"/>
                    <pic:cNvPicPr>
                      <a:picLocks noChangeAspect="1"/>
                    </pic:cNvPicPr>
                  </pic:nvPicPr>
                  <pic:blipFill>
                    <a:blip r:embed="rId10"/>
                    <a:srcRect l="3871" t="7742" b="4618"/>
                    <a:stretch>
                      <a:fillRect/>
                    </a:stretch>
                  </pic:blipFill>
                  <pic:spPr>
                    <a:xfrm>
                      <a:off x="0" y="0"/>
                      <a:ext cx="5661025" cy="3277870"/>
                    </a:xfrm>
                    <a:prstGeom prst="rect">
                      <a:avLst/>
                    </a:prstGeom>
                  </pic:spPr>
                </pic:pic>
              </a:graphicData>
            </a:graphic>
          </wp:inline>
        </w:drawing>
      </w:r>
    </w:p>
    <w:p>
      <w:pPr>
        <w:ind w:firstLine="0" w:firstLineChars="0"/>
        <w:jc w:val="center"/>
        <w:rPr>
          <w:rFonts w:eastAsia="宋体"/>
        </w:rPr>
      </w:pPr>
      <w:r>
        <w:rPr>
          <w:rFonts w:hint="eastAsia" w:ascii="黑体" w:hAnsi="黑体" w:eastAsia="黑体" w:cs="黑体"/>
          <w:szCs w:val="24"/>
        </w:rPr>
        <w:t>图2 氯离子标准曲线</w:t>
      </w:r>
    </w:p>
    <w:p>
      <w:pPr>
        <w:ind w:firstLine="0" w:firstLineChars="0"/>
        <w:jc w:val="both"/>
        <w:rPr>
          <w:rFonts w:ascii="黑体" w:hAnsi="黑体" w:eastAsia="黑体" w:cs="黑体"/>
        </w:rPr>
      </w:pPr>
    </w:p>
    <w:p>
      <w:pPr>
        <w:ind w:firstLine="0" w:firstLineChars="0"/>
        <w:jc w:val="center"/>
        <w:rPr>
          <w:rFonts w:ascii="黑体" w:hAnsi="黑体" w:eastAsia="黑体" w:cs="黑体"/>
        </w:rPr>
      </w:pPr>
      <w:r>
        <w:rPr>
          <w:rFonts w:hint="eastAsia" w:ascii="黑体" w:hAnsi="黑体" w:eastAsia="黑体" w:cs="黑体"/>
        </w:rPr>
        <w:t>表4 氯离子标准曲线测试数据表</w:t>
      </w:r>
    </w:p>
    <w:tbl>
      <w:tblPr>
        <w:tblStyle w:val="16"/>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867"/>
        <w:gridCol w:w="1108"/>
        <w:gridCol w:w="1108"/>
        <w:gridCol w:w="1108"/>
        <w:gridCol w:w="1108"/>
        <w:gridCol w:w="1108"/>
        <w:gridCol w:w="1115"/>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095" w:type="pct"/>
            <w:vMerge w:val="restar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项目名称</w:t>
            </w:r>
          </w:p>
        </w:tc>
        <w:tc>
          <w:tcPr>
            <w:tcW w:w="3904" w:type="pct"/>
            <w:gridSpan w:val="6"/>
            <w:vAlign w:val="center"/>
          </w:tcPr>
          <w:p>
            <w:pPr>
              <w:widowControl/>
              <w:spacing w:line="240" w:lineRule="auto"/>
              <w:ind w:firstLine="0" w:firstLineChars="0"/>
              <w:jc w:val="center"/>
              <w:rPr>
                <w:rFonts w:eastAsia="宋体" w:cs="Times New Roman"/>
                <w:color w:val="000000"/>
                <w:kern w:val="0"/>
                <w:sz w:val="21"/>
                <w:szCs w:val="21"/>
              </w:rPr>
            </w:pPr>
            <w:r>
              <w:rPr>
                <w:rFonts w:hint="eastAsia" w:eastAsia="宋体" w:cs="Times New Roman"/>
                <w:color w:val="000000"/>
                <w:kern w:val="0"/>
                <w:sz w:val="21"/>
                <w:szCs w:val="21"/>
              </w:rPr>
              <w:t>标准曲线信息</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095" w:type="pct"/>
            <w:vMerge w:val="continue"/>
            <w:tcBorders>
              <w:top w:val="single" w:color="auto" w:sz="6" w:space="0"/>
              <w:bottom w:val="single" w:color="auto" w:sz="6" w:space="0"/>
            </w:tcBorders>
            <w:vAlign w:val="center"/>
          </w:tcPr>
          <w:p>
            <w:pPr>
              <w:ind w:firstLine="0" w:firstLineChars="0"/>
              <w:jc w:val="center"/>
              <w:rPr>
                <w:rFonts w:eastAsia="宋体" w:cs="Times New Roman"/>
                <w:sz w:val="21"/>
                <w:szCs w:val="21"/>
              </w:rPr>
            </w:pPr>
          </w:p>
        </w:tc>
        <w:tc>
          <w:tcPr>
            <w:tcW w:w="650" w:type="pc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1</w:t>
            </w:r>
          </w:p>
        </w:tc>
        <w:tc>
          <w:tcPr>
            <w:tcW w:w="650" w:type="pc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2</w:t>
            </w:r>
          </w:p>
        </w:tc>
        <w:tc>
          <w:tcPr>
            <w:tcW w:w="650" w:type="pc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3</w:t>
            </w:r>
          </w:p>
        </w:tc>
        <w:tc>
          <w:tcPr>
            <w:tcW w:w="650" w:type="pc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4</w:t>
            </w:r>
          </w:p>
        </w:tc>
        <w:tc>
          <w:tcPr>
            <w:tcW w:w="650" w:type="pc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5</w:t>
            </w:r>
          </w:p>
        </w:tc>
        <w:tc>
          <w:tcPr>
            <w:tcW w:w="654" w:type="pc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095" w:type="pct"/>
            <w:tcBorders>
              <w:top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含量</w:t>
            </w:r>
            <w:r>
              <w:rPr>
                <w:rFonts w:eastAsia="宋体" w:cs="Times New Roman"/>
                <w:i/>
                <w:iCs/>
                <w:sz w:val="21"/>
                <w:szCs w:val="21"/>
              </w:rPr>
              <w:t>c</w:t>
            </w:r>
            <w:r>
              <w:rPr>
                <w:rFonts w:eastAsia="宋体" w:cs="Times New Roman"/>
                <w:sz w:val="21"/>
                <w:szCs w:val="21"/>
              </w:rPr>
              <w:t>（mg/L）</w:t>
            </w:r>
          </w:p>
        </w:tc>
        <w:tc>
          <w:tcPr>
            <w:tcW w:w="650" w:type="pct"/>
            <w:tcBorders>
              <w:top w:val="single" w:color="auto" w:sz="6" w:space="0"/>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5</w:t>
            </w:r>
          </w:p>
        </w:tc>
        <w:tc>
          <w:tcPr>
            <w:tcW w:w="650" w:type="pct"/>
            <w:tcBorders>
              <w:top w:val="single" w:color="auto" w:sz="6" w:space="0"/>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10</w:t>
            </w:r>
          </w:p>
        </w:tc>
        <w:tc>
          <w:tcPr>
            <w:tcW w:w="650" w:type="pct"/>
            <w:tcBorders>
              <w:top w:val="single" w:color="auto" w:sz="6" w:space="0"/>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20</w:t>
            </w:r>
          </w:p>
        </w:tc>
        <w:tc>
          <w:tcPr>
            <w:tcW w:w="650" w:type="pct"/>
            <w:tcBorders>
              <w:top w:val="single" w:color="auto" w:sz="6" w:space="0"/>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50</w:t>
            </w:r>
          </w:p>
        </w:tc>
        <w:tc>
          <w:tcPr>
            <w:tcW w:w="650" w:type="pct"/>
            <w:tcBorders>
              <w:top w:val="single" w:color="auto" w:sz="6" w:space="0"/>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100</w:t>
            </w:r>
          </w:p>
        </w:tc>
        <w:tc>
          <w:tcPr>
            <w:tcW w:w="654" w:type="pct"/>
            <w:tcBorders>
              <w:top w:val="single" w:color="auto" w:sz="6" w:space="0"/>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500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095"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Lg</w:t>
            </w:r>
            <w:r>
              <w:rPr>
                <w:rFonts w:eastAsia="宋体" w:cs="Times New Roman"/>
                <w:i/>
                <w:iCs/>
                <w:sz w:val="21"/>
                <w:szCs w:val="21"/>
              </w:rPr>
              <w:t>c</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0.70</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1.00</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1.30</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1.70</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2.00</w:t>
            </w:r>
          </w:p>
        </w:tc>
        <w:tc>
          <w:tcPr>
            <w:tcW w:w="65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2.70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095"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电位</w:t>
            </w:r>
            <w:r>
              <w:rPr>
                <w:rFonts w:eastAsia="宋体" w:cs="Times New Roman"/>
                <w:i/>
                <w:iCs/>
                <w:sz w:val="21"/>
                <w:szCs w:val="21"/>
              </w:rPr>
              <w:t>E</w:t>
            </w:r>
            <w:r>
              <w:rPr>
                <w:rFonts w:eastAsia="宋体" w:cs="Times New Roman"/>
                <w:sz w:val="21"/>
                <w:szCs w:val="21"/>
              </w:rPr>
              <w:t>（mv）</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137.35</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121.42</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105.49</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80.35</w:t>
            </w:r>
          </w:p>
        </w:tc>
        <w:tc>
          <w:tcPr>
            <w:tcW w:w="6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63.96</w:t>
            </w:r>
          </w:p>
        </w:tc>
        <w:tc>
          <w:tcPr>
            <w:tcW w:w="65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25.98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095"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标准曲线方程</w:t>
            </w:r>
          </w:p>
        </w:tc>
        <w:tc>
          <w:tcPr>
            <w:tcW w:w="1950" w:type="pct"/>
            <w:gridSpan w:val="3"/>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y = -56.</w:t>
            </w:r>
            <w:r>
              <w:rPr>
                <w:rFonts w:eastAsia="宋体" w:cs="Times New Roman"/>
                <w:sz w:val="21"/>
                <w:szCs w:val="21"/>
              </w:rPr>
              <w:t>24</w:t>
            </w:r>
            <w:r>
              <w:rPr>
                <w:rFonts w:hint="eastAsia" w:eastAsia="宋体" w:cs="Times New Roman"/>
                <w:sz w:val="21"/>
                <w:szCs w:val="21"/>
              </w:rPr>
              <w:t>x+17</w:t>
            </w:r>
            <w:r>
              <w:rPr>
                <w:rFonts w:eastAsia="宋体" w:cs="Times New Roman"/>
                <w:sz w:val="21"/>
                <w:szCs w:val="21"/>
              </w:rPr>
              <w:t>7.2</w:t>
            </w:r>
          </w:p>
        </w:tc>
        <w:tc>
          <w:tcPr>
            <w:tcW w:w="650"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相关性</w:t>
            </w:r>
          </w:p>
        </w:tc>
        <w:tc>
          <w:tcPr>
            <w:tcW w:w="1304" w:type="pct"/>
            <w:gridSpan w:val="2"/>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R</w:t>
            </w:r>
            <w:r>
              <w:rPr>
                <w:rFonts w:hint="eastAsia" w:eastAsia="宋体" w:cs="Times New Roman"/>
                <w:sz w:val="21"/>
                <w:szCs w:val="21"/>
                <w:vertAlign w:val="superscript"/>
              </w:rPr>
              <w:t>2</w:t>
            </w:r>
            <w:r>
              <w:rPr>
                <w:rFonts w:hint="eastAsia" w:eastAsia="宋体" w:cs="Times New Roman"/>
                <w:sz w:val="21"/>
                <w:szCs w:val="21"/>
              </w:rPr>
              <w:t>=</w:t>
            </w:r>
            <w:r>
              <w:rPr>
                <w:rFonts w:eastAsia="宋体" w:cs="Times New Roman"/>
                <w:sz w:val="21"/>
                <w:szCs w:val="21"/>
              </w:rPr>
              <w:t>0.9994</w:t>
            </w:r>
          </w:p>
        </w:tc>
      </w:tr>
    </w:tbl>
    <w:p>
      <w:pPr>
        <w:pStyle w:val="29"/>
        <w:ind w:firstLine="0" w:firstLineChars="0"/>
        <w:outlineLvl w:val="2"/>
        <w:rPr>
          <w:rFonts w:ascii="黑体" w:hAnsi="黑体" w:eastAsia="黑体" w:cs="黑体"/>
          <w:szCs w:val="24"/>
        </w:rPr>
      </w:pPr>
      <w:bookmarkStart w:id="13" w:name="_Toc7403"/>
    </w:p>
    <w:p>
      <w:pPr>
        <w:pStyle w:val="29"/>
        <w:ind w:firstLine="0" w:firstLineChars="0"/>
        <w:outlineLvl w:val="2"/>
        <w:rPr>
          <w:szCs w:val="24"/>
        </w:rPr>
      </w:pPr>
      <w:r>
        <w:rPr>
          <w:rFonts w:hint="eastAsia" w:ascii="黑体" w:hAnsi="黑体" w:eastAsia="黑体" w:cs="黑体"/>
          <w:szCs w:val="24"/>
        </w:rPr>
        <w:t>3.4 检出限</w:t>
      </w:r>
      <w:bookmarkEnd w:id="13"/>
      <w:r>
        <w:rPr>
          <w:rFonts w:hint="eastAsia" w:ascii="黑体" w:hAnsi="黑体" w:eastAsia="黑体" w:cs="黑体"/>
          <w:szCs w:val="24"/>
        </w:rPr>
        <w:t xml:space="preserve">的测定 </w:t>
      </w:r>
    </w:p>
    <w:p>
      <w:pPr>
        <w:ind w:firstLine="480"/>
        <w:rPr>
          <w:rFonts w:cs="Times New Roman"/>
        </w:rPr>
      </w:pPr>
      <w:r>
        <w:rPr>
          <w:rFonts w:cs="Times New Roman"/>
        </w:rPr>
        <w:t>按照《环境监测分析方法标准制修订技术导则》（HJ 168-2020）附录A.1.4 要求，依据（2.6.2）进行标准曲线绘制并制备测定空白样品电位，将空白电位在标准曲线图上标记，沿该电位点作平行于</w:t>
      </w:r>
      <w:r>
        <w:rPr>
          <w:rFonts w:hint="eastAsia" w:cs="Times New Roman"/>
        </w:rPr>
        <w:t>X</w:t>
      </w:r>
      <w:r>
        <w:rPr>
          <w:rFonts w:cs="Times New Roman"/>
        </w:rPr>
        <w:t>轴（</w:t>
      </w:r>
      <w:r>
        <w:rPr>
          <w:rFonts w:eastAsia="宋体" w:cs="Times New Roman"/>
        </w:rPr>
        <w:t>氯</w:t>
      </w:r>
      <w:r>
        <w:rPr>
          <w:rFonts w:cs="Times New Roman"/>
        </w:rPr>
        <w:t>离子浓度的对数）的直线交于曲线直线部分延长线对应的X值算得的</w:t>
      </w:r>
      <w:r>
        <w:rPr>
          <w:rFonts w:eastAsia="宋体" w:cs="Times New Roman"/>
        </w:rPr>
        <w:t>氯</w:t>
      </w:r>
      <w:r>
        <w:rPr>
          <w:rFonts w:cs="Times New Roman"/>
        </w:rPr>
        <w:t>含量即为检出限。方法检出限测试结果见表5，当碳酸钠称样量为2.0 g时，碳酸钠中氯化物测定方法的检出限为0.002％。</w:t>
      </w:r>
    </w:p>
    <w:p>
      <w:pPr>
        <w:ind w:firstLine="480"/>
        <w:jc w:val="center"/>
        <w:rPr>
          <w:rFonts w:hint="eastAsia" w:ascii="黑体" w:hAnsi="黑体" w:eastAsia="黑体" w:cs="黑体"/>
        </w:rPr>
      </w:pPr>
    </w:p>
    <w:p>
      <w:pPr>
        <w:ind w:firstLine="480"/>
        <w:jc w:val="center"/>
      </w:pPr>
      <w:r>
        <w:rPr>
          <w:rFonts w:hint="eastAsia" w:ascii="黑体" w:hAnsi="黑体" w:eastAsia="黑体" w:cs="黑体"/>
        </w:rPr>
        <w:t>表</w:t>
      </w:r>
      <w:r>
        <w:rPr>
          <w:rFonts w:ascii="黑体" w:hAnsi="黑体" w:eastAsia="黑体" w:cs="黑体"/>
        </w:rPr>
        <w:t>5</w:t>
      </w:r>
      <w:r>
        <w:rPr>
          <w:rFonts w:hint="eastAsia" w:ascii="黑体" w:hAnsi="黑体" w:eastAsia="黑体" w:cs="黑体"/>
        </w:rPr>
        <w:t xml:space="preserve"> 检出限试验数据表</w:t>
      </w:r>
    </w:p>
    <w:tbl>
      <w:tblPr>
        <w:tblStyle w:val="16"/>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29"/>
        <w:gridCol w:w="1048"/>
        <w:gridCol w:w="1048"/>
        <w:gridCol w:w="1048"/>
        <w:gridCol w:w="1048"/>
        <w:gridCol w:w="1048"/>
        <w:gridCol w:w="1053"/>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7" w:type="pct"/>
            <w:vMerge w:val="restart"/>
            <w:tcBorders>
              <w:bottom w:val="single" w:color="auto" w:sz="6" w:space="0"/>
            </w:tcBorders>
            <w:vAlign w:val="center"/>
          </w:tcPr>
          <w:p>
            <w:pPr>
              <w:ind w:firstLine="0" w:firstLineChars="0"/>
              <w:jc w:val="center"/>
              <w:rPr>
                <w:rFonts w:eastAsia="宋体" w:cs="Times New Roman"/>
                <w:sz w:val="21"/>
                <w:szCs w:val="21"/>
              </w:rPr>
            </w:pPr>
            <w:bookmarkStart w:id="14" w:name="_Toc23972"/>
            <w:r>
              <w:rPr>
                <w:rFonts w:eastAsia="宋体" w:cs="Times New Roman"/>
                <w:sz w:val="21"/>
                <w:szCs w:val="21"/>
              </w:rPr>
              <w:t>项目名称</w:t>
            </w:r>
          </w:p>
        </w:tc>
        <w:tc>
          <w:tcPr>
            <w:tcW w:w="3692" w:type="pct"/>
            <w:gridSpan w:val="6"/>
            <w:vAlign w:val="center"/>
          </w:tcPr>
          <w:p>
            <w:pPr>
              <w:widowControl/>
              <w:spacing w:line="240" w:lineRule="auto"/>
              <w:ind w:firstLine="0" w:firstLineChars="0"/>
              <w:jc w:val="center"/>
              <w:rPr>
                <w:rFonts w:eastAsia="宋体" w:cs="Times New Roman"/>
                <w:color w:val="000000"/>
                <w:kern w:val="0"/>
                <w:sz w:val="21"/>
                <w:szCs w:val="21"/>
              </w:rPr>
            </w:pPr>
            <w:r>
              <w:rPr>
                <w:rFonts w:hint="eastAsia" w:eastAsia="宋体" w:cs="Times New Roman"/>
                <w:color w:val="000000"/>
                <w:kern w:val="0"/>
                <w:sz w:val="21"/>
                <w:szCs w:val="21"/>
              </w:rPr>
              <w:t>标准曲线信息</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7" w:type="pct"/>
            <w:vMerge w:val="continue"/>
            <w:tcBorders>
              <w:top w:val="single" w:color="auto" w:sz="6" w:space="0"/>
              <w:bottom w:val="single" w:color="auto" w:sz="6" w:space="0"/>
            </w:tcBorders>
            <w:vAlign w:val="center"/>
          </w:tcPr>
          <w:p>
            <w:pPr>
              <w:ind w:firstLine="0" w:firstLineChars="0"/>
              <w:jc w:val="center"/>
              <w:rPr>
                <w:rFonts w:eastAsia="宋体" w:cs="Times New Roman"/>
                <w:sz w:val="21"/>
                <w:szCs w:val="21"/>
              </w:rPr>
            </w:pPr>
          </w:p>
        </w:tc>
        <w:tc>
          <w:tcPr>
            <w:tcW w:w="614" w:type="pct"/>
            <w:tcBorders>
              <w:bottom w:val="single" w:color="auto" w:sz="6" w:space="0"/>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1</w:t>
            </w:r>
          </w:p>
        </w:tc>
        <w:tc>
          <w:tcPr>
            <w:tcW w:w="614" w:type="pct"/>
            <w:tcBorders>
              <w:bottom w:val="single" w:color="auto" w:sz="6" w:space="0"/>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2</w:t>
            </w:r>
          </w:p>
        </w:tc>
        <w:tc>
          <w:tcPr>
            <w:tcW w:w="614" w:type="pct"/>
            <w:tcBorders>
              <w:bottom w:val="single" w:color="auto" w:sz="6" w:space="0"/>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3</w:t>
            </w:r>
          </w:p>
        </w:tc>
        <w:tc>
          <w:tcPr>
            <w:tcW w:w="614" w:type="pct"/>
            <w:tcBorders>
              <w:bottom w:val="single" w:color="auto" w:sz="6" w:space="0"/>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4</w:t>
            </w:r>
          </w:p>
        </w:tc>
        <w:tc>
          <w:tcPr>
            <w:tcW w:w="614" w:type="pct"/>
            <w:tcBorders>
              <w:bottom w:val="single" w:color="auto" w:sz="6" w:space="0"/>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5</w:t>
            </w:r>
          </w:p>
        </w:tc>
        <w:tc>
          <w:tcPr>
            <w:tcW w:w="617" w:type="pct"/>
            <w:tcBorders>
              <w:bottom w:val="single" w:color="auto" w:sz="6" w:space="0"/>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7" w:type="pct"/>
            <w:tcBorders>
              <w:top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含量</w:t>
            </w:r>
            <w:r>
              <w:rPr>
                <w:rFonts w:eastAsia="宋体" w:cs="Times New Roman"/>
                <w:i/>
                <w:iCs/>
                <w:sz w:val="21"/>
                <w:szCs w:val="21"/>
              </w:rPr>
              <w:t>c</w:t>
            </w:r>
            <w:r>
              <w:rPr>
                <w:rFonts w:eastAsia="宋体" w:cs="Times New Roman"/>
                <w:sz w:val="21"/>
                <w:szCs w:val="21"/>
              </w:rPr>
              <w:t>（mg/L）</w:t>
            </w:r>
          </w:p>
        </w:tc>
        <w:tc>
          <w:tcPr>
            <w:tcW w:w="614" w:type="pct"/>
            <w:tcBorders>
              <w:top w:val="single" w:color="auto" w:sz="6" w:space="0"/>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5</w:t>
            </w:r>
          </w:p>
        </w:tc>
        <w:tc>
          <w:tcPr>
            <w:tcW w:w="614" w:type="pct"/>
            <w:tcBorders>
              <w:top w:val="single" w:color="auto" w:sz="6" w:space="0"/>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10</w:t>
            </w:r>
          </w:p>
        </w:tc>
        <w:tc>
          <w:tcPr>
            <w:tcW w:w="614" w:type="pct"/>
            <w:tcBorders>
              <w:top w:val="single" w:color="auto" w:sz="6" w:space="0"/>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20</w:t>
            </w:r>
          </w:p>
        </w:tc>
        <w:tc>
          <w:tcPr>
            <w:tcW w:w="614" w:type="pct"/>
            <w:tcBorders>
              <w:top w:val="single" w:color="auto" w:sz="6" w:space="0"/>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50</w:t>
            </w:r>
          </w:p>
        </w:tc>
        <w:tc>
          <w:tcPr>
            <w:tcW w:w="614" w:type="pct"/>
            <w:tcBorders>
              <w:top w:val="single" w:color="auto" w:sz="6" w:space="0"/>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100</w:t>
            </w:r>
          </w:p>
        </w:tc>
        <w:tc>
          <w:tcPr>
            <w:tcW w:w="617" w:type="pct"/>
            <w:tcBorders>
              <w:top w:val="single" w:color="auto" w:sz="6" w:space="0"/>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500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7"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Lg</w:t>
            </w:r>
            <w:r>
              <w:rPr>
                <w:rFonts w:eastAsia="宋体" w:cs="Times New Roman"/>
                <w:i/>
                <w:iCs/>
                <w:sz w:val="21"/>
                <w:szCs w:val="21"/>
              </w:rPr>
              <w:t>c</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0.70 </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1.00 </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1.30 </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1.70 </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2.00 </w:t>
            </w:r>
          </w:p>
        </w:tc>
        <w:tc>
          <w:tcPr>
            <w:tcW w:w="617"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2.70 </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7"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电位</w:t>
            </w:r>
            <w:r>
              <w:rPr>
                <w:rFonts w:eastAsia="宋体" w:cs="Times New Roman"/>
                <w:i/>
                <w:iCs/>
                <w:sz w:val="21"/>
                <w:szCs w:val="21"/>
              </w:rPr>
              <w:t>E</w:t>
            </w:r>
            <w:r>
              <w:rPr>
                <w:rFonts w:eastAsia="宋体" w:cs="Times New Roman"/>
                <w:sz w:val="21"/>
                <w:szCs w:val="21"/>
              </w:rPr>
              <w:t>（mv）</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137.35</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121.42</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105.49</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80.35</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63.96</w:t>
            </w:r>
          </w:p>
        </w:tc>
        <w:tc>
          <w:tcPr>
            <w:tcW w:w="617"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25.98</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7"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标准曲线方程</w:t>
            </w:r>
          </w:p>
        </w:tc>
        <w:tc>
          <w:tcPr>
            <w:tcW w:w="1229" w:type="pct"/>
            <w:gridSpan w:val="2"/>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y = -56.24x+177.2</w:t>
            </w:r>
          </w:p>
        </w:tc>
        <w:tc>
          <w:tcPr>
            <w:tcW w:w="1229" w:type="pct"/>
            <w:gridSpan w:val="2"/>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相关性</w:t>
            </w:r>
          </w:p>
        </w:tc>
        <w:tc>
          <w:tcPr>
            <w:tcW w:w="1232" w:type="pct"/>
            <w:gridSpan w:val="2"/>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R</w:t>
            </w:r>
            <w:r>
              <w:rPr>
                <w:rFonts w:hint="eastAsia" w:eastAsia="宋体" w:cs="Times New Roman"/>
                <w:sz w:val="21"/>
                <w:szCs w:val="21"/>
                <w:vertAlign w:val="superscript"/>
              </w:rPr>
              <w:t>2</w:t>
            </w:r>
            <w:r>
              <w:rPr>
                <w:rFonts w:hint="eastAsia" w:eastAsia="宋体" w:cs="Times New Roman"/>
                <w:sz w:val="21"/>
                <w:szCs w:val="21"/>
              </w:rPr>
              <w:t>=0.9994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307"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空白溶液电位值</w:t>
            </w:r>
            <w:r>
              <w:rPr>
                <w:rFonts w:eastAsia="宋体" w:cs="Times New Roman"/>
                <w:sz w:val="21"/>
                <w:szCs w:val="21"/>
              </w:rPr>
              <w:t>（mv）</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195.23 </w:t>
            </w:r>
          </w:p>
        </w:tc>
        <w:tc>
          <w:tcPr>
            <w:tcW w:w="614" w:type="pct"/>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 xml:space="preserve">194.03 </w:t>
            </w:r>
          </w:p>
        </w:tc>
        <w:tc>
          <w:tcPr>
            <w:tcW w:w="1229" w:type="pct"/>
            <w:gridSpan w:val="2"/>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检出限（%）</w:t>
            </w:r>
          </w:p>
        </w:tc>
        <w:tc>
          <w:tcPr>
            <w:tcW w:w="1232" w:type="pct"/>
            <w:gridSpan w:val="2"/>
            <w:tcBorders>
              <w:tl2br w:val="nil"/>
              <w:tr2bl w:val="nil"/>
            </w:tcBorders>
            <w:vAlign w:val="center"/>
          </w:tcPr>
          <w:p>
            <w:pPr>
              <w:ind w:firstLine="0" w:firstLineChars="0"/>
              <w:jc w:val="center"/>
              <w:rPr>
                <w:rFonts w:hint="eastAsia" w:eastAsia="宋体" w:cs="Times New Roman"/>
                <w:sz w:val="21"/>
                <w:szCs w:val="21"/>
              </w:rPr>
            </w:pPr>
            <w:r>
              <w:rPr>
                <w:rFonts w:hint="eastAsia" w:eastAsia="宋体" w:cs="Times New Roman"/>
                <w:sz w:val="21"/>
                <w:szCs w:val="21"/>
              </w:rPr>
              <w:t>0.002</w:t>
            </w:r>
          </w:p>
        </w:tc>
      </w:tr>
    </w:tbl>
    <w:p>
      <w:pPr>
        <w:widowControl/>
        <w:ind w:firstLine="0" w:firstLineChars="0"/>
        <w:jc w:val="left"/>
        <w:outlineLvl w:val="2"/>
        <w:rPr>
          <w:rFonts w:ascii="黑体" w:hAnsi="黑体" w:eastAsia="黑体" w:cs="黑体"/>
          <w:bCs/>
          <w:color w:val="000000"/>
        </w:rPr>
      </w:pPr>
    </w:p>
    <w:p>
      <w:pPr>
        <w:widowControl/>
        <w:ind w:firstLine="0" w:firstLineChars="0"/>
        <w:jc w:val="left"/>
        <w:outlineLvl w:val="2"/>
        <w:rPr>
          <w:rFonts w:ascii="黑体" w:hAnsi="黑体" w:eastAsia="黑体" w:cs="黑体"/>
          <w:bCs/>
          <w:color w:val="000000"/>
        </w:rPr>
      </w:pPr>
      <w:r>
        <w:rPr>
          <w:rFonts w:hint="eastAsia" w:ascii="黑体" w:hAnsi="黑体" w:eastAsia="黑体" w:cs="黑体"/>
          <w:bCs/>
          <w:color w:val="000000"/>
        </w:rPr>
        <w:t>3.5 精密度和准确度</w:t>
      </w:r>
      <w:bookmarkEnd w:id="14"/>
      <w:r>
        <w:rPr>
          <w:rFonts w:hint="eastAsia" w:ascii="黑体" w:hAnsi="黑体" w:eastAsia="黑体" w:cs="黑体"/>
          <w:bCs/>
          <w:color w:val="000000"/>
        </w:rPr>
        <w:t>的测定</w:t>
      </w:r>
    </w:p>
    <w:p>
      <w:pPr>
        <w:ind w:firstLine="480"/>
        <w:rPr>
          <w:rFonts w:eastAsia="宋体" w:cs="Times New Roman"/>
          <w:color w:val="000000" w:themeColor="text1"/>
          <w:szCs w:val="24"/>
          <w14:textFill>
            <w14:solidFill>
              <w14:schemeClr w14:val="tx1"/>
            </w14:solidFill>
          </w14:textFill>
        </w:rPr>
      </w:pPr>
      <w:r>
        <w:rPr>
          <w:rFonts w:hint="eastAsia"/>
        </w:rPr>
        <w:t>分别选取重质碳酸钠、轻质碳酸钠样品</w:t>
      </w:r>
      <w:r>
        <w:rPr>
          <w:rFonts w:hint="eastAsia"/>
          <w:lang w:eastAsia="zh-CN"/>
        </w:rPr>
        <w:t>（</w:t>
      </w:r>
      <w:r>
        <w:rPr>
          <w:rFonts w:hint="eastAsia"/>
        </w:rPr>
        <w:t>轻质碳酸钠和重质碳酸钠是按照堆积密度区分</w:t>
      </w:r>
      <w:r>
        <w:rPr>
          <w:rFonts w:hint="eastAsia"/>
          <w:lang w:eastAsia="zh-CN"/>
        </w:rPr>
        <w:t>，</w:t>
      </w:r>
      <w:r>
        <w:rPr>
          <w:rFonts w:hint="eastAsia"/>
        </w:rPr>
        <w:t>一般轻质碳酸钠的密度在700</w:t>
      </w:r>
      <w:r>
        <w:rPr>
          <w:rFonts w:hint="eastAsia"/>
          <w:lang w:val="en-US" w:eastAsia="zh-CN"/>
        </w:rPr>
        <w:t>~</w:t>
      </w:r>
      <w:r>
        <w:rPr>
          <w:rFonts w:hint="eastAsia"/>
        </w:rPr>
        <w:t>800</w:t>
      </w:r>
      <w:r>
        <w:rPr>
          <w:rFonts w:hint="eastAsia"/>
          <w:lang w:val="en-US" w:eastAsia="zh-CN"/>
        </w:rPr>
        <w:t xml:space="preserve"> </w:t>
      </w:r>
      <w:r>
        <w:rPr>
          <w:rFonts w:hint="eastAsia"/>
        </w:rPr>
        <w:t>kg/m³，重质碳酸钠的密度在1000</w:t>
      </w:r>
      <w:r>
        <w:rPr>
          <w:rFonts w:hint="eastAsia"/>
          <w:lang w:val="en-US" w:eastAsia="zh-CN"/>
        </w:rPr>
        <w:t>~</w:t>
      </w:r>
      <w:r>
        <w:rPr>
          <w:rFonts w:hint="eastAsia"/>
        </w:rPr>
        <w:t>1200</w:t>
      </w:r>
      <w:r>
        <w:rPr>
          <w:rFonts w:hint="eastAsia"/>
          <w:lang w:val="en-US" w:eastAsia="zh-CN"/>
        </w:rPr>
        <w:t xml:space="preserve"> </w:t>
      </w:r>
      <w:r>
        <w:rPr>
          <w:rFonts w:hint="eastAsia"/>
        </w:rPr>
        <w:t>kg/m³</w:t>
      </w:r>
      <w:r>
        <w:rPr>
          <w:rFonts w:hint="eastAsia"/>
          <w:lang w:eastAsia="zh-CN"/>
        </w:rPr>
        <w:t>）</w:t>
      </w:r>
      <w:r>
        <w:rPr>
          <w:rFonts w:hint="eastAsia"/>
        </w:rPr>
        <w:t>，按2.6.1分析步骤</w:t>
      </w:r>
      <w:r>
        <w:rPr>
          <w:rFonts w:eastAsia="宋体" w:cs="Times New Roman"/>
          <w:szCs w:val="24"/>
        </w:rPr>
        <w:t>独立测试6次</w:t>
      </w:r>
      <w:r>
        <w:rPr>
          <w:rFonts w:hint="eastAsia"/>
        </w:rPr>
        <w:t>，</w:t>
      </w:r>
      <w:r>
        <w:rPr>
          <w:rFonts w:eastAsia="宋体" w:cs="Times New Roman"/>
          <w:szCs w:val="24"/>
        </w:rPr>
        <w:t>计算</w:t>
      </w:r>
      <w:r>
        <w:rPr>
          <w:rFonts w:hint="eastAsia" w:eastAsia="宋体" w:cs="Times New Roman"/>
          <w:szCs w:val="24"/>
        </w:rPr>
        <w:t>6次测试数据</w:t>
      </w:r>
      <w:r>
        <w:rPr>
          <w:rFonts w:eastAsia="宋体" w:cs="Times New Roman"/>
          <w:szCs w:val="24"/>
        </w:rPr>
        <w:t>的精密度（RSD）</w:t>
      </w:r>
      <w:r>
        <w:rPr>
          <w:rFonts w:hint="eastAsia"/>
        </w:rPr>
        <w:t>。对重质碳酸钠、轻质碳酸钠样品进行</w:t>
      </w:r>
      <w:r>
        <w:rPr>
          <w:rFonts w:eastAsia="宋体" w:cs="Times New Roman"/>
          <w:szCs w:val="24"/>
        </w:rPr>
        <w:t>低</w:t>
      </w:r>
      <w:r>
        <w:rPr>
          <w:rFonts w:hint="eastAsia" w:eastAsia="宋体" w:cs="Times New Roman"/>
          <w:szCs w:val="24"/>
        </w:rPr>
        <w:t>、</w:t>
      </w:r>
      <w:r>
        <w:rPr>
          <w:rFonts w:eastAsia="宋体" w:cs="Times New Roman"/>
          <w:szCs w:val="24"/>
        </w:rPr>
        <w:t>中</w:t>
      </w:r>
      <w:r>
        <w:rPr>
          <w:rFonts w:hint="eastAsia" w:eastAsia="宋体" w:cs="Times New Roman"/>
          <w:szCs w:val="24"/>
        </w:rPr>
        <w:t>、</w:t>
      </w:r>
      <w:r>
        <w:rPr>
          <w:rFonts w:eastAsia="宋体" w:cs="Times New Roman"/>
          <w:szCs w:val="24"/>
        </w:rPr>
        <w:t>高3</w:t>
      </w:r>
      <w:r>
        <w:rPr>
          <w:rFonts w:hint="eastAsia" w:eastAsia="宋体" w:cs="Times New Roman"/>
          <w:szCs w:val="24"/>
        </w:rPr>
        <w:t>个浓度</w:t>
      </w:r>
      <w:r>
        <w:rPr>
          <w:rFonts w:eastAsia="宋体" w:cs="Times New Roman"/>
          <w:szCs w:val="24"/>
        </w:rPr>
        <w:t>水平加标</w:t>
      </w:r>
      <w:r>
        <w:rPr>
          <w:rFonts w:hint="eastAsia" w:eastAsia="宋体" w:cs="Times New Roman"/>
          <w:szCs w:val="24"/>
        </w:rPr>
        <w:t>，加标量依次为0</w:t>
      </w:r>
      <w:r>
        <w:rPr>
          <w:rFonts w:eastAsia="宋体" w:cs="Times New Roman"/>
          <w:szCs w:val="24"/>
        </w:rPr>
        <w:t>.1%</w:t>
      </w:r>
      <w:r>
        <w:rPr>
          <w:rFonts w:hint="eastAsia" w:eastAsia="宋体" w:cs="Times New Roman"/>
          <w:szCs w:val="24"/>
        </w:rPr>
        <w:t>、0</w:t>
      </w:r>
      <w:r>
        <w:rPr>
          <w:rFonts w:eastAsia="宋体" w:cs="Times New Roman"/>
          <w:szCs w:val="24"/>
        </w:rPr>
        <w:t>.4%</w:t>
      </w:r>
      <w:r>
        <w:rPr>
          <w:rFonts w:hint="eastAsia" w:eastAsia="宋体" w:cs="Times New Roman"/>
          <w:szCs w:val="24"/>
        </w:rPr>
        <w:t>、1</w:t>
      </w:r>
      <w:r>
        <w:rPr>
          <w:rFonts w:eastAsia="宋体" w:cs="Times New Roman"/>
          <w:szCs w:val="24"/>
        </w:rPr>
        <w:t>.2%</w:t>
      </w:r>
      <w:r>
        <w:rPr>
          <w:rFonts w:hint="eastAsia" w:eastAsia="宋体" w:cs="Times New Roman"/>
          <w:szCs w:val="24"/>
        </w:rPr>
        <w:t>，</w:t>
      </w:r>
      <w:r>
        <w:rPr>
          <w:rFonts w:eastAsia="宋体" w:cs="Times New Roman"/>
          <w:szCs w:val="24"/>
        </w:rPr>
        <w:t>计算</w:t>
      </w:r>
      <w:r>
        <w:rPr>
          <w:rFonts w:hint="eastAsia" w:eastAsia="宋体" w:cs="Times New Roman"/>
          <w:szCs w:val="24"/>
        </w:rPr>
        <w:t>每个加标水平的精密度</w:t>
      </w:r>
      <w:r>
        <w:rPr>
          <w:rFonts w:eastAsia="宋体" w:cs="Times New Roman"/>
          <w:szCs w:val="24"/>
        </w:rPr>
        <w:t>（RSD）</w:t>
      </w:r>
      <w:r>
        <w:rPr>
          <w:rFonts w:hint="eastAsia" w:eastAsia="宋体" w:cs="Times New Roman"/>
          <w:szCs w:val="24"/>
        </w:rPr>
        <w:t>、准确度</w:t>
      </w:r>
      <w:r>
        <w:rPr>
          <w:rFonts w:eastAsia="宋体" w:cs="Times New Roman"/>
          <w:szCs w:val="24"/>
        </w:rPr>
        <w:t>（</w:t>
      </w:r>
      <w:r>
        <w:rPr>
          <w:rFonts w:hint="eastAsia" w:eastAsia="宋体" w:cs="Times New Roman"/>
          <w:szCs w:val="24"/>
        </w:rPr>
        <w:t>回收率</w:t>
      </w:r>
      <w:r>
        <w:rPr>
          <w:rFonts w:eastAsia="宋体" w:cs="Times New Roman"/>
          <w:szCs w:val="24"/>
        </w:rPr>
        <w:t>）</w:t>
      </w:r>
      <w:r>
        <w:rPr>
          <w:rFonts w:hint="eastAsia" w:eastAsia="宋体" w:cs="Times New Roman"/>
          <w:szCs w:val="24"/>
        </w:rPr>
        <w:t>。精密度</w:t>
      </w:r>
      <w:r>
        <w:rPr>
          <w:rFonts w:eastAsia="宋体" w:cs="Times New Roman"/>
          <w:szCs w:val="24"/>
        </w:rPr>
        <w:t>（RSD）</w:t>
      </w:r>
      <w:r>
        <w:rPr>
          <w:rFonts w:hint="eastAsia" w:eastAsia="宋体" w:cs="Times New Roman"/>
          <w:szCs w:val="24"/>
        </w:rPr>
        <w:t>按照6次独立</w:t>
      </w:r>
      <w:r>
        <w:rPr>
          <w:rFonts w:hint="eastAsia" w:eastAsia="宋体" w:cs="Times New Roman"/>
          <w:color w:val="000000" w:themeColor="text1"/>
          <w:szCs w:val="24"/>
          <w14:textFill>
            <w14:solidFill>
              <w14:schemeClr w14:val="tx1"/>
            </w14:solidFill>
          </w14:textFill>
        </w:rPr>
        <w:t>测试数据的相对标准偏差进行计算；</w:t>
      </w:r>
      <w:r>
        <w:rPr>
          <w:rFonts w:hint="eastAsia" w:eastAsia="宋体" w:cs="Times New Roman"/>
          <w:szCs w:val="24"/>
        </w:rPr>
        <w:t>回收率R的测定公式为：</w:t>
      </w:r>
      <w:r>
        <w:rPr>
          <w:rFonts w:eastAsia="宋体" w:cs="Times New Roman"/>
          <w:szCs w:val="24"/>
        </w:rPr>
        <w:t xml:space="preserve"> </w:t>
      </w:r>
    </w:p>
    <w:p>
      <w:pPr>
        <w:spacing w:line="440" w:lineRule="exact"/>
        <w:ind w:firstLine="480"/>
        <w:jc w:val="left"/>
        <w:rPr>
          <w:rFonts w:eastAsia="宋体" w:cs="Times New Roman"/>
          <w:szCs w:val="24"/>
        </w:rPr>
      </w:pPr>
      <w:r>
        <w:rPr>
          <w:rFonts w:hint="eastAsia" w:eastAsia="宋体" w:cs="Times New Roman"/>
          <w:szCs w:val="24"/>
        </w:rPr>
        <w:t xml:space="preserve">    回收率R=（C</w:t>
      </w:r>
      <w:r>
        <w:rPr>
          <w:rFonts w:hint="eastAsia" w:eastAsia="宋体" w:cs="Times New Roman"/>
          <w:szCs w:val="24"/>
          <w:vertAlign w:val="subscript"/>
        </w:rPr>
        <w:t>1</w:t>
      </w:r>
      <w:r>
        <w:rPr>
          <w:rFonts w:hint="eastAsia" w:eastAsia="宋体" w:cs="Times New Roman"/>
          <w:szCs w:val="24"/>
        </w:rPr>
        <w:t>-C</w:t>
      </w:r>
      <w:r>
        <w:rPr>
          <w:rFonts w:hint="eastAsia" w:eastAsia="宋体" w:cs="Times New Roman"/>
          <w:szCs w:val="24"/>
          <w:vertAlign w:val="subscript"/>
        </w:rPr>
        <w:t>2</w:t>
      </w:r>
      <w:r>
        <w:rPr>
          <w:rFonts w:hint="eastAsia" w:eastAsia="宋体" w:cs="Times New Roman"/>
          <w:szCs w:val="24"/>
        </w:rPr>
        <w:t>）/C</w:t>
      </w:r>
      <w:r>
        <w:rPr>
          <w:rFonts w:hint="eastAsia" w:eastAsia="宋体" w:cs="Times New Roman"/>
          <w:szCs w:val="24"/>
          <w:vertAlign w:val="subscript"/>
        </w:rPr>
        <w:t xml:space="preserve">3 </w:t>
      </w:r>
      <w:r>
        <w:rPr>
          <w:rFonts w:hint="eastAsia" w:eastAsia="宋体" w:cs="Times New Roman"/>
          <w:szCs w:val="24"/>
        </w:rPr>
        <w:t xml:space="preserve">           </w:t>
      </w:r>
    </w:p>
    <w:p>
      <w:pPr>
        <w:ind w:firstLine="480"/>
        <w:rPr>
          <w:rFonts w:eastAsia="宋体" w:cs="Times New Roman"/>
          <w:szCs w:val="24"/>
        </w:rPr>
      </w:pPr>
      <w:r>
        <w:rPr>
          <w:rFonts w:hint="eastAsia" w:eastAsia="宋体" w:cs="Times New Roman"/>
          <w:szCs w:val="24"/>
        </w:rPr>
        <w:t>其中：</w:t>
      </w:r>
    </w:p>
    <w:p>
      <w:pPr>
        <w:ind w:firstLine="960" w:firstLineChars="400"/>
        <w:rPr>
          <w:rFonts w:eastAsia="宋体" w:cs="Times New Roman"/>
          <w:szCs w:val="24"/>
        </w:rPr>
      </w:pPr>
      <w:r>
        <w:rPr>
          <w:rFonts w:hint="eastAsia" w:eastAsia="宋体" w:cs="Times New Roman"/>
          <w:szCs w:val="24"/>
        </w:rPr>
        <w:t>C</w:t>
      </w:r>
      <w:r>
        <w:rPr>
          <w:rFonts w:hint="eastAsia" w:eastAsia="宋体" w:cs="Times New Roman"/>
          <w:szCs w:val="24"/>
          <w:vertAlign w:val="subscript"/>
        </w:rPr>
        <w:t>1</w:t>
      </w:r>
      <w:r>
        <w:rPr>
          <w:rFonts w:hint="eastAsia" w:eastAsia="宋体" w:cs="Times New Roman"/>
          <w:szCs w:val="24"/>
        </w:rPr>
        <w:t>为加标之后测定的浓度；</w:t>
      </w:r>
    </w:p>
    <w:p>
      <w:pPr>
        <w:ind w:firstLine="960" w:firstLineChars="400"/>
        <w:rPr>
          <w:rFonts w:eastAsia="宋体" w:cs="Times New Roman"/>
          <w:szCs w:val="24"/>
        </w:rPr>
      </w:pPr>
      <w:r>
        <w:rPr>
          <w:rFonts w:hint="eastAsia" w:eastAsia="宋体" w:cs="Times New Roman"/>
          <w:szCs w:val="24"/>
        </w:rPr>
        <w:t>C</w:t>
      </w:r>
      <w:r>
        <w:rPr>
          <w:rFonts w:hint="eastAsia" w:eastAsia="宋体" w:cs="Times New Roman"/>
          <w:szCs w:val="24"/>
          <w:vertAlign w:val="subscript"/>
        </w:rPr>
        <w:t>2</w:t>
      </w:r>
      <w:r>
        <w:rPr>
          <w:rFonts w:hint="eastAsia" w:eastAsia="宋体" w:cs="Times New Roman"/>
          <w:szCs w:val="24"/>
        </w:rPr>
        <w:t>为加标之前测定的浓度；</w:t>
      </w:r>
    </w:p>
    <w:p>
      <w:pPr>
        <w:ind w:firstLine="960" w:firstLineChars="400"/>
        <w:rPr>
          <w:rFonts w:eastAsia="宋体" w:cs="Times New Roman"/>
          <w:szCs w:val="24"/>
        </w:rPr>
      </w:pPr>
      <w:r>
        <w:rPr>
          <w:rFonts w:hint="eastAsia" w:eastAsia="宋体" w:cs="Times New Roman"/>
          <w:szCs w:val="24"/>
        </w:rPr>
        <w:t>C</w:t>
      </w:r>
      <w:r>
        <w:rPr>
          <w:rFonts w:hint="eastAsia" w:eastAsia="宋体" w:cs="Times New Roman"/>
          <w:szCs w:val="24"/>
          <w:vertAlign w:val="subscript"/>
        </w:rPr>
        <w:t>3</w:t>
      </w:r>
      <w:r>
        <w:rPr>
          <w:rFonts w:hint="eastAsia" w:eastAsia="宋体" w:cs="Times New Roman"/>
          <w:szCs w:val="24"/>
        </w:rPr>
        <w:t>为理论加标量。</w:t>
      </w:r>
    </w:p>
    <w:p>
      <w:pPr>
        <w:spacing w:line="440" w:lineRule="exact"/>
        <w:ind w:firstLine="480"/>
        <w:rPr>
          <w:rFonts w:eastAsia="宋体" w:cs="Times New Roman"/>
          <w:color w:val="000000" w:themeColor="text1"/>
          <w:szCs w:val="24"/>
          <w14:textFill>
            <w14:solidFill>
              <w14:schemeClr w14:val="tx1"/>
            </w14:solidFill>
          </w14:textFill>
        </w:rPr>
      </w:pPr>
      <w:r>
        <w:rPr>
          <w:rFonts w:hint="eastAsia" w:eastAsia="宋体" w:cs="Times New Roman"/>
          <w:color w:val="000000" w:themeColor="text1"/>
          <w:kern w:val="0"/>
          <w:szCs w:val="24"/>
          <w:lang w:bidi="ar"/>
          <w14:textFill>
            <w14:solidFill>
              <w14:schemeClr w14:val="tx1"/>
            </w14:solidFill>
          </w14:textFill>
        </w:rPr>
        <w:t>精密度和准确度的</w:t>
      </w:r>
      <w:r>
        <w:rPr>
          <w:rFonts w:eastAsia="宋体" w:cs="Times New Roman"/>
          <w:color w:val="000000" w:themeColor="text1"/>
          <w:kern w:val="0"/>
          <w:szCs w:val="24"/>
          <w:lang w:bidi="ar"/>
          <w14:textFill>
            <w14:solidFill>
              <w14:schemeClr w14:val="tx1"/>
            </w14:solidFill>
          </w14:textFill>
        </w:rPr>
        <w:t>测试结果见表</w:t>
      </w:r>
      <w:r>
        <w:rPr>
          <w:rFonts w:hint="eastAsia" w:eastAsia="宋体" w:cs="Times New Roman"/>
          <w:color w:val="000000" w:themeColor="text1"/>
          <w:kern w:val="0"/>
          <w:szCs w:val="24"/>
          <w:lang w:bidi="ar"/>
          <w14:textFill>
            <w14:solidFill>
              <w14:schemeClr w14:val="tx1"/>
            </w14:solidFill>
          </w14:textFill>
        </w:rPr>
        <w:t>6</w:t>
      </w:r>
      <w:r>
        <w:rPr>
          <w:rFonts w:eastAsia="宋体" w:cs="Times New Roman"/>
          <w:color w:val="000000" w:themeColor="text1"/>
          <w:kern w:val="0"/>
          <w:szCs w:val="24"/>
          <w:lang w:bidi="ar"/>
          <w14:textFill>
            <w14:solidFill>
              <w14:schemeClr w14:val="tx1"/>
            </w14:solidFill>
          </w14:textFill>
        </w:rPr>
        <w:t>。</w:t>
      </w:r>
      <w:r>
        <w:rPr>
          <w:rFonts w:eastAsia="宋体" w:cs="Times New Roman"/>
          <w:color w:val="000000" w:themeColor="text1"/>
          <w:szCs w:val="24"/>
          <w14:textFill>
            <w14:solidFill>
              <w14:schemeClr w14:val="tx1"/>
            </w14:solidFill>
          </w14:textFill>
        </w:rPr>
        <w:t>测定的精密度，即相对标准偏差在0.6％~</w:t>
      </w:r>
      <w:r>
        <w:rPr>
          <w:rFonts w:hint="eastAsia" w:eastAsia="宋体" w:cs="Times New Roman"/>
          <w:color w:val="000000" w:themeColor="text1"/>
          <w:szCs w:val="24"/>
          <w14:textFill>
            <w14:solidFill>
              <w14:schemeClr w14:val="tx1"/>
            </w14:solidFill>
          </w14:textFill>
        </w:rPr>
        <w:t>1.9</w:t>
      </w:r>
      <w:r>
        <w:rPr>
          <w:rFonts w:eastAsia="宋体" w:cs="Times New Roman"/>
          <w:color w:val="000000" w:themeColor="text1"/>
          <w:szCs w:val="24"/>
          <w14:textFill>
            <w14:solidFill>
              <w14:schemeClr w14:val="tx1"/>
            </w14:solidFill>
          </w14:textFill>
        </w:rPr>
        <w:t>％的范围内，</w:t>
      </w:r>
      <w:r>
        <w:rPr>
          <w:rFonts w:hint="eastAsia" w:eastAsia="宋体" w:cs="Times New Roman"/>
          <w:color w:val="000000" w:themeColor="text1"/>
          <w:szCs w:val="24"/>
          <w:lang w:val="en-US" w:eastAsia="zh-CN"/>
          <w14:textFill>
            <w14:solidFill>
              <w14:schemeClr w14:val="tx1"/>
            </w14:solidFill>
          </w14:textFill>
        </w:rPr>
        <w:t>六</w:t>
      </w:r>
      <w:r>
        <w:rPr>
          <w:rFonts w:eastAsia="宋体" w:cs="Times New Roman"/>
          <w:color w:val="000000" w:themeColor="text1"/>
          <w:szCs w:val="24"/>
          <w14:textFill>
            <w14:solidFill>
              <w14:schemeClr w14:val="tx1"/>
            </w14:solidFill>
          </w14:textFill>
        </w:rPr>
        <w:t>组加标样品</w:t>
      </w:r>
      <w:r>
        <w:rPr>
          <w:rFonts w:hint="eastAsia" w:eastAsia="宋体" w:cs="Times New Roman"/>
          <w:color w:val="000000" w:themeColor="text1"/>
          <w:szCs w:val="24"/>
          <w:lang w:eastAsia="zh-CN"/>
          <w14:textFill>
            <w14:solidFill>
              <w14:schemeClr w14:val="tx1"/>
            </w14:solidFill>
          </w14:textFill>
        </w:rPr>
        <w:t>（</w:t>
      </w:r>
      <w:r>
        <w:rPr>
          <w:rFonts w:hint="eastAsia" w:eastAsia="宋体" w:cs="Times New Roman"/>
          <w:color w:val="000000" w:themeColor="text1"/>
          <w:szCs w:val="24"/>
          <w:lang w:val="en-US" w:eastAsia="zh-CN"/>
          <w14:textFill>
            <w14:solidFill>
              <w14:schemeClr w14:val="tx1"/>
            </w14:solidFill>
          </w14:textFill>
        </w:rPr>
        <w:t>即重质碳酸钠和轻质碳酸钠低、中、高加标水平测试结果</w:t>
      </w:r>
      <w:r>
        <w:rPr>
          <w:rFonts w:hint="eastAsia" w:eastAsia="宋体" w:cs="Times New Roman"/>
          <w:color w:val="000000" w:themeColor="text1"/>
          <w:szCs w:val="24"/>
          <w:lang w:eastAsia="zh-CN"/>
          <w14:textFill>
            <w14:solidFill>
              <w14:schemeClr w14:val="tx1"/>
            </w14:solidFill>
          </w14:textFill>
        </w:rPr>
        <w:t>）</w:t>
      </w:r>
      <w:r>
        <w:rPr>
          <w:rFonts w:eastAsia="宋体" w:cs="Times New Roman"/>
          <w:color w:val="000000" w:themeColor="text1"/>
          <w:szCs w:val="24"/>
          <w14:textFill>
            <w14:solidFill>
              <w14:schemeClr w14:val="tx1"/>
            </w14:solidFill>
          </w14:textFill>
        </w:rPr>
        <w:t>的加标回收率在9</w:t>
      </w:r>
      <w:r>
        <w:rPr>
          <w:rFonts w:hint="eastAsia" w:eastAsia="宋体" w:cs="Times New Roman"/>
          <w:color w:val="000000" w:themeColor="text1"/>
          <w:szCs w:val="24"/>
          <w:lang w:val="en-US" w:eastAsia="zh-CN"/>
          <w14:textFill>
            <w14:solidFill>
              <w14:schemeClr w14:val="tx1"/>
            </w14:solidFill>
          </w14:textFill>
        </w:rPr>
        <w:t>0</w:t>
      </w:r>
      <w:r>
        <w:rPr>
          <w:rFonts w:eastAsia="宋体" w:cs="Times New Roman"/>
          <w:color w:val="000000" w:themeColor="text1"/>
          <w:szCs w:val="24"/>
          <w14:textFill>
            <w14:solidFill>
              <w14:schemeClr w14:val="tx1"/>
            </w14:solidFill>
          </w14:textFill>
        </w:rPr>
        <w:t>.0％~</w:t>
      </w:r>
      <w:r>
        <w:rPr>
          <w:rFonts w:hint="eastAsia" w:eastAsia="宋体" w:cs="Times New Roman"/>
          <w:color w:val="000000" w:themeColor="text1"/>
          <w:szCs w:val="24"/>
          <w14:textFill>
            <w14:solidFill>
              <w14:schemeClr w14:val="tx1"/>
            </w14:solidFill>
          </w14:textFill>
        </w:rPr>
        <w:t>100</w:t>
      </w:r>
      <w:r>
        <w:rPr>
          <w:rFonts w:eastAsia="宋体" w:cs="Times New Roman"/>
          <w:color w:val="000000" w:themeColor="text1"/>
          <w:szCs w:val="24"/>
          <w14:textFill>
            <w14:solidFill>
              <w14:schemeClr w14:val="tx1"/>
            </w14:solidFill>
          </w14:textFill>
        </w:rPr>
        <w:t>％的范围内，满足GB/T 27417-2017《合格评定 化学分析方法确认和验证指南》中附录A及附录B对</w:t>
      </w:r>
      <w:r>
        <w:rPr>
          <w:rFonts w:hint="eastAsia" w:eastAsia="宋体" w:cs="Times New Roman"/>
          <w:color w:val="000000" w:themeColor="text1"/>
          <w:szCs w:val="24"/>
          <w14:textFill>
            <w14:solidFill>
              <w14:schemeClr w14:val="tx1"/>
            </w14:solidFill>
          </w14:textFill>
        </w:rPr>
        <w:t>精密度和准确度</w:t>
      </w:r>
      <w:r>
        <w:rPr>
          <w:rFonts w:eastAsia="宋体" w:cs="Times New Roman"/>
          <w:color w:val="000000" w:themeColor="text1"/>
          <w:szCs w:val="24"/>
          <w14:textFill>
            <w14:solidFill>
              <w14:schemeClr w14:val="tx1"/>
            </w14:solidFill>
          </w14:textFill>
        </w:rPr>
        <w:t>的要求</w:t>
      </w:r>
      <w:r>
        <w:rPr>
          <w:rFonts w:hint="eastAsia" w:eastAsia="宋体" w:cs="Times New Roman"/>
          <w:color w:val="000000" w:themeColor="text1"/>
          <w:szCs w:val="24"/>
          <w14:textFill>
            <w14:solidFill>
              <w14:schemeClr w14:val="tx1"/>
            </w14:solidFill>
          </w14:textFill>
        </w:rPr>
        <w:t>。</w:t>
      </w:r>
    </w:p>
    <w:p>
      <w:pPr>
        <w:ind w:firstLine="480"/>
        <w:jc w:val="center"/>
        <w:rPr>
          <w:rFonts w:hint="eastAsia" w:ascii="黑体" w:hAnsi="黑体" w:eastAsia="黑体" w:cs="黑体"/>
        </w:rPr>
      </w:pPr>
    </w:p>
    <w:p>
      <w:pPr>
        <w:ind w:firstLine="480"/>
        <w:jc w:val="center"/>
        <w:rPr>
          <w:rFonts w:hint="eastAsia" w:ascii="黑体" w:hAnsi="黑体" w:eastAsia="黑体" w:cs="黑体"/>
        </w:rPr>
      </w:pPr>
    </w:p>
    <w:p>
      <w:pPr>
        <w:ind w:firstLine="480"/>
        <w:jc w:val="center"/>
        <w:rPr>
          <w:rFonts w:hint="eastAsia" w:ascii="黑体" w:hAnsi="黑体" w:eastAsia="黑体" w:cs="黑体"/>
        </w:rPr>
      </w:pPr>
    </w:p>
    <w:p>
      <w:pPr>
        <w:ind w:firstLine="480"/>
        <w:jc w:val="center"/>
        <w:rPr>
          <w:rFonts w:ascii="黑体" w:hAnsi="黑体" w:eastAsia="黑体" w:cs="黑体"/>
        </w:rPr>
      </w:pPr>
      <w:r>
        <w:rPr>
          <w:rFonts w:hint="eastAsia" w:ascii="黑体" w:hAnsi="黑体" w:eastAsia="黑体" w:cs="黑体"/>
        </w:rPr>
        <w:t>表6精密度和准确度试验数据表</w:t>
      </w:r>
    </w:p>
    <w:tbl>
      <w:tblPr>
        <w:tblStyle w:val="15"/>
        <w:tblW w:w="5000" w:type="pct"/>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06"/>
        <w:gridCol w:w="584"/>
        <w:gridCol w:w="584"/>
        <w:gridCol w:w="584"/>
        <w:gridCol w:w="584"/>
        <w:gridCol w:w="584"/>
        <w:gridCol w:w="612"/>
        <w:gridCol w:w="846"/>
        <w:gridCol w:w="846"/>
        <w:gridCol w:w="846"/>
        <w:gridCol w:w="846"/>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42" w:type="pct"/>
            <w:vMerge w:val="restart"/>
            <w:tcBorders>
              <w:bottom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平行次数</w:t>
            </w:r>
          </w:p>
        </w:tc>
        <w:tc>
          <w:tcPr>
            <w:tcW w:w="2069" w:type="pct"/>
            <w:gridSpan w:val="6"/>
            <w:tcBorders>
              <w:bottom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测定结果（％）</w:t>
            </w:r>
          </w:p>
        </w:tc>
        <w:tc>
          <w:tcPr>
            <w:tcW w:w="496" w:type="pct"/>
            <w:vMerge w:val="restart"/>
            <w:tcBorders>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平均值（％）</w:t>
            </w:r>
          </w:p>
        </w:tc>
        <w:tc>
          <w:tcPr>
            <w:tcW w:w="496" w:type="pct"/>
            <w:vMerge w:val="restart"/>
            <w:tcBorders>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RSD（％）</w:t>
            </w:r>
          </w:p>
        </w:tc>
        <w:tc>
          <w:tcPr>
            <w:tcW w:w="496" w:type="pct"/>
            <w:vMerge w:val="restart"/>
            <w:tcBorders>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加标量（％）</w:t>
            </w:r>
          </w:p>
        </w:tc>
        <w:tc>
          <w:tcPr>
            <w:tcW w:w="496" w:type="pct"/>
            <w:vMerge w:val="restart"/>
            <w:tcBorders>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回收率（％）</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42" w:type="pct"/>
            <w:vMerge w:val="continue"/>
            <w:tcBorders>
              <w:top w:val="nil"/>
              <w:bottom w:val="single" w:color="auto" w:sz="6" w:space="0"/>
            </w:tcBorders>
            <w:vAlign w:val="center"/>
          </w:tcPr>
          <w:p>
            <w:pPr>
              <w:widowControl/>
              <w:spacing w:line="240" w:lineRule="auto"/>
              <w:ind w:firstLine="0" w:firstLineChars="0"/>
              <w:jc w:val="center"/>
              <w:rPr>
                <w:rFonts w:cs="Times New Roman"/>
                <w:color w:val="000000"/>
                <w:kern w:val="0"/>
                <w:sz w:val="21"/>
                <w:szCs w:val="21"/>
              </w:rPr>
            </w:pPr>
          </w:p>
        </w:tc>
        <w:tc>
          <w:tcPr>
            <w:tcW w:w="342" w:type="pct"/>
            <w:tcBorders>
              <w:top w:val="nil"/>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1</w:t>
            </w:r>
          </w:p>
        </w:tc>
        <w:tc>
          <w:tcPr>
            <w:tcW w:w="342" w:type="pct"/>
            <w:tcBorders>
              <w:top w:val="nil"/>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2</w:t>
            </w:r>
          </w:p>
        </w:tc>
        <w:tc>
          <w:tcPr>
            <w:tcW w:w="342" w:type="pct"/>
            <w:tcBorders>
              <w:top w:val="nil"/>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3</w:t>
            </w:r>
          </w:p>
        </w:tc>
        <w:tc>
          <w:tcPr>
            <w:tcW w:w="342" w:type="pct"/>
            <w:tcBorders>
              <w:top w:val="nil"/>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4</w:t>
            </w:r>
          </w:p>
        </w:tc>
        <w:tc>
          <w:tcPr>
            <w:tcW w:w="342" w:type="pct"/>
            <w:tcBorders>
              <w:top w:val="nil"/>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5</w:t>
            </w:r>
          </w:p>
        </w:tc>
        <w:tc>
          <w:tcPr>
            <w:tcW w:w="356" w:type="pct"/>
            <w:tcBorders>
              <w:top w:val="nil"/>
              <w:bottom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6</w:t>
            </w:r>
          </w:p>
        </w:tc>
        <w:tc>
          <w:tcPr>
            <w:tcW w:w="496" w:type="pct"/>
            <w:vMerge w:val="continue"/>
            <w:tcBorders>
              <w:top w:val="single" w:color="auto" w:sz="6" w:space="0"/>
              <w:bottom w:val="single" w:color="auto" w:sz="6" w:space="0"/>
            </w:tcBorders>
            <w:vAlign w:val="center"/>
          </w:tcPr>
          <w:p>
            <w:pPr>
              <w:widowControl/>
              <w:spacing w:line="240" w:lineRule="auto"/>
              <w:ind w:firstLine="0" w:firstLineChars="0"/>
              <w:jc w:val="center"/>
              <w:rPr>
                <w:rFonts w:cs="Times New Roman"/>
                <w:color w:val="000000"/>
                <w:kern w:val="0"/>
                <w:sz w:val="21"/>
                <w:szCs w:val="21"/>
              </w:rPr>
            </w:pPr>
          </w:p>
        </w:tc>
        <w:tc>
          <w:tcPr>
            <w:tcW w:w="496" w:type="pct"/>
            <w:vMerge w:val="continue"/>
            <w:tcBorders>
              <w:top w:val="single" w:color="auto" w:sz="6" w:space="0"/>
              <w:bottom w:val="single" w:color="auto" w:sz="6" w:space="0"/>
            </w:tcBorders>
            <w:vAlign w:val="center"/>
          </w:tcPr>
          <w:p>
            <w:pPr>
              <w:widowControl/>
              <w:spacing w:line="240" w:lineRule="auto"/>
              <w:ind w:firstLine="0" w:firstLineChars="0"/>
              <w:jc w:val="center"/>
              <w:rPr>
                <w:rFonts w:cs="Times New Roman"/>
                <w:color w:val="000000"/>
                <w:kern w:val="0"/>
                <w:sz w:val="21"/>
                <w:szCs w:val="21"/>
              </w:rPr>
            </w:pPr>
          </w:p>
        </w:tc>
        <w:tc>
          <w:tcPr>
            <w:tcW w:w="496" w:type="pct"/>
            <w:vMerge w:val="continue"/>
            <w:tcBorders>
              <w:top w:val="single" w:color="auto" w:sz="6" w:space="0"/>
              <w:bottom w:val="single" w:color="auto" w:sz="6" w:space="0"/>
            </w:tcBorders>
            <w:vAlign w:val="center"/>
          </w:tcPr>
          <w:p>
            <w:pPr>
              <w:widowControl/>
              <w:spacing w:line="240" w:lineRule="auto"/>
              <w:ind w:firstLine="0" w:firstLineChars="0"/>
              <w:jc w:val="center"/>
              <w:rPr>
                <w:rFonts w:cs="Times New Roman"/>
                <w:color w:val="000000"/>
                <w:kern w:val="0"/>
                <w:sz w:val="21"/>
                <w:szCs w:val="21"/>
              </w:rPr>
            </w:pPr>
          </w:p>
        </w:tc>
        <w:tc>
          <w:tcPr>
            <w:tcW w:w="496" w:type="pct"/>
            <w:vMerge w:val="continue"/>
            <w:tcBorders>
              <w:top w:val="single" w:color="auto" w:sz="6" w:space="0"/>
              <w:bottom w:val="single" w:color="auto" w:sz="6" w:space="0"/>
            </w:tcBorders>
            <w:vAlign w:val="center"/>
          </w:tcPr>
          <w:p>
            <w:pPr>
              <w:widowControl/>
              <w:spacing w:line="240" w:lineRule="auto"/>
              <w:ind w:firstLine="0" w:firstLineChars="0"/>
              <w:jc w:val="center"/>
              <w:rPr>
                <w:rFonts w:cs="Times New Roman"/>
                <w:color w:val="000000"/>
                <w:kern w:val="0"/>
                <w:sz w:val="21"/>
                <w:szCs w:val="21"/>
              </w:rPr>
            </w:pP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942" w:type="pct"/>
            <w:tcBorders>
              <w:top w:val="single" w:color="auto" w:sz="6" w:space="0"/>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bookmarkStart w:id="15" w:name="OLE_LINK1" w:colFirst="1" w:colLast="7"/>
            <w:r>
              <w:rPr>
                <w:rFonts w:cs="Times New Roman"/>
                <w:color w:val="000000"/>
                <w:kern w:val="0"/>
                <w:sz w:val="21"/>
                <w:szCs w:val="21"/>
              </w:rPr>
              <w:t>重质</w:t>
            </w:r>
          </w:p>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碳酸钠样品</w:t>
            </w:r>
          </w:p>
        </w:tc>
        <w:tc>
          <w:tcPr>
            <w:tcW w:w="584" w:type="dxa"/>
            <w:tcBorders>
              <w:top w:val="single" w:color="auto" w:sz="6" w:space="0"/>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0.26 </w:t>
            </w:r>
          </w:p>
        </w:tc>
        <w:tc>
          <w:tcPr>
            <w:tcW w:w="584" w:type="dxa"/>
            <w:tcBorders>
              <w:top w:val="single" w:color="auto" w:sz="6" w:space="0"/>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0.26 </w:t>
            </w:r>
          </w:p>
        </w:tc>
        <w:tc>
          <w:tcPr>
            <w:tcW w:w="584" w:type="dxa"/>
            <w:tcBorders>
              <w:top w:val="single" w:color="auto" w:sz="6" w:space="0"/>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0.26 </w:t>
            </w:r>
          </w:p>
        </w:tc>
        <w:tc>
          <w:tcPr>
            <w:tcW w:w="584" w:type="dxa"/>
            <w:tcBorders>
              <w:top w:val="single" w:color="auto" w:sz="6" w:space="0"/>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0.25 </w:t>
            </w:r>
          </w:p>
        </w:tc>
        <w:tc>
          <w:tcPr>
            <w:tcW w:w="584" w:type="dxa"/>
            <w:tcBorders>
              <w:top w:val="single" w:color="auto" w:sz="6" w:space="0"/>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0.26 </w:t>
            </w:r>
          </w:p>
        </w:tc>
        <w:tc>
          <w:tcPr>
            <w:tcW w:w="612" w:type="dxa"/>
            <w:tcBorders>
              <w:top w:val="single" w:color="auto" w:sz="6" w:space="0"/>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0.26 </w:t>
            </w:r>
          </w:p>
        </w:tc>
        <w:tc>
          <w:tcPr>
            <w:tcW w:w="846" w:type="dxa"/>
            <w:tcBorders>
              <w:top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0.26 </w:t>
            </w:r>
          </w:p>
        </w:tc>
        <w:tc>
          <w:tcPr>
            <w:tcW w:w="496" w:type="pct"/>
            <w:tcBorders>
              <w:top w:val="single" w:color="auto" w:sz="6" w:space="0"/>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1.6</w:t>
            </w:r>
          </w:p>
        </w:tc>
        <w:tc>
          <w:tcPr>
            <w:tcW w:w="496" w:type="pct"/>
            <w:tcBorders>
              <w:top w:val="single" w:color="auto" w:sz="6" w:space="0"/>
            </w:tcBorders>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w:t>
            </w:r>
          </w:p>
        </w:tc>
        <w:tc>
          <w:tcPr>
            <w:tcW w:w="496" w:type="pct"/>
            <w:tcBorders>
              <w:top w:val="single" w:color="auto" w:sz="6" w:space="0"/>
            </w:tcBorders>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42"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重质碳酸钠样品-低浓度加标</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0.36</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0.36</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0.35</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0.35</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0.35</w:t>
            </w:r>
          </w:p>
        </w:tc>
        <w:tc>
          <w:tcPr>
            <w:tcW w:w="612"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0.35</w:t>
            </w:r>
          </w:p>
        </w:tc>
        <w:tc>
          <w:tcPr>
            <w:tcW w:w="846" w:type="dxa"/>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default" w:cs="Times New Roman"/>
                <w:color w:val="000000"/>
                <w:kern w:val="0"/>
                <w:sz w:val="21"/>
                <w:szCs w:val="21"/>
                <w:lang w:val="en-US" w:eastAsia="zh-CN"/>
              </w:rPr>
              <w:t xml:space="preserve">0.35 </w:t>
            </w:r>
          </w:p>
        </w:tc>
        <w:tc>
          <w:tcPr>
            <w:tcW w:w="496" w:type="pct"/>
            <w:tcBorders>
              <w:tl2br w:val="nil"/>
              <w:tr2bl w:val="nil"/>
            </w:tcBorders>
            <w:shd w:val="clear" w:color="auto" w:fill="auto"/>
            <w:vAlign w:val="center"/>
          </w:tcPr>
          <w:p>
            <w:pPr>
              <w:widowControl/>
              <w:spacing w:line="240" w:lineRule="auto"/>
              <w:ind w:firstLine="0" w:firstLineChars="0"/>
              <w:jc w:val="center"/>
              <w:rPr>
                <w:rFonts w:hint="eastAsia" w:cs="Times New Roman" w:eastAsiaTheme="minorEastAsia"/>
                <w:color w:val="000000"/>
                <w:kern w:val="0"/>
                <w:sz w:val="21"/>
                <w:szCs w:val="21"/>
                <w:lang w:eastAsia="zh-CN"/>
              </w:rPr>
            </w:pPr>
            <w:r>
              <w:rPr>
                <w:rFonts w:hint="eastAsia" w:cs="Times New Roman"/>
                <w:color w:val="000000"/>
                <w:kern w:val="0"/>
                <w:sz w:val="21"/>
                <w:szCs w:val="21"/>
              </w:rPr>
              <w:t>1.</w:t>
            </w:r>
            <w:r>
              <w:rPr>
                <w:rFonts w:hint="eastAsia" w:cs="Times New Roman"/>
                <w:color w:val="000000"/>
                <w:kern w:val="0"/>
                <w:sz w:val="21"/>
                <w:szCs w:val="21"/>
                <w:lang w:val="en-US" w:eastAsia="zh-CN"/>
              </w:rPr>
              <w:t>5</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0.1</w:t>
            </w:r>
          </w:p>
        </w:tc>
        <w:tc>
          <w:tcPr>
            <w:tcW w:w="496" w:type="pct"/>
            <w:tcBorders>
              <w:tl2br w:val="nil"/>
              <w:tr2bl w:val="nil"/>
            </w:tcBorders>
            <w:shd w:val="clear" w:color="auto" w:fill="auto"/>
            <w:vAlign w:val="center"/>
          </w:tcPr>
          <w:p>
            <w:pPr>
              <w:widowControl/>
              <w:spacing w:line="240" w:lineRule="auto"/>
              <w:ind w:firstLine="0" w:firstLineChars="0"/>
              <w:jc w:val="center"/>
              <w:rPr>
                <w:rFonts w:hint="default" w:cs="Times New Roman" w:eastAsiaTheme="minorEastAsia"/>
                <w:color w:val="000000"/>
                <w:kern w:val="0"/>
                <w:sz w:val="21"/>
                <w:szCs w:val="21"/>
                <w:lang w:val="en-US" w:eastAsia="zh-CN"/>
              </w:rPr>
            </w:pPr>
            <w:r>
              <w:rPr>
                <w:rFonts w:hint="eastAsia" w:cs="Times New Roman"/>
                <w:color w:val="000000"/>
                <w:kern w:val="0"/>
                <w:sz w:val="21"/>
                <w:szCs w:val="21"/>
                <w:lang w:val="en-US" w:eastAsia="zh-CN"/>
              </w:rPr>
              <w:t>90.0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42"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重质碳酸钠样品-中浓度加标</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0.63</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0.63</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0.64</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0.63</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0.65</w:t>
            </w:r>
          </w:p>
        </w:tc>
        <w:tc>
          <w:tcPr>
            <w:tcW w:w="612"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0.65</w:t>
            </w:r>
          </w:p>
        </w:tc>
        <w:tc>
          <w:tcPr>
            <w:tcW w:w="846" w:type="dxa"/>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0.64 </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1.5</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0.4</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95.0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42" w:type="pct"/>
            <w:tcBorders>
              <w:bottom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重质碳酸钠样品-高浓度加标</w:t>
            </w:r>
          </w:p>
        </w:tc>
        <w:tc>
          <w:tcPr>
            <w:tcW w:w="584" w:type="dxa"/>
            <w:tcBorders>
              <w:bottom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1.45</w:t>
            </w:r>
          </w:p>
        </w:tc>
        <w:tc>
          <w:tcPr>
            <w:tcW w:w="584" w:type="dxa"/>
            <w:tcBorders>
              <w:bottom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1.46</w:t>
            </w:r>
          </w:p>
        </w:tc>
        <w:tc>
          <w:tcPr>
            <w:tcW w:w="584" w:type="dxa"/>
            <w:tcBorders>
              <w:bottom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1.46</w:t>
            </w:r>
          </w:p>
        </w:tc>
        <w:tc>
          <w:tcPr>
            <w:tcW w:w="584" w:type="dxa"/>
            <w:tcBorders>
              <w:bottom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1.44</w:t>
            </w:r>
          </w:p>
        </w:tc>
        <w:tc>
          <w:tcPr>
            <w:tcW w:w="584" w:type="dxa"/>
            <w:tcBorders>
              <w:bottom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1.44</w:t>
            </w:r>
          </w:p>
        </w:tc>
        <w:tc>
          <w:tcPr>
            <w:tcW w:w="612" w:type="dxa"/>
            <w:tcBorders>
              <w:bottom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1.45</w:t>
            </w:r>
          </w:p>
        </w:tc>
        <w:tc>
          <w:tcPr>
            <w:tcW w:w="846" w:type="dxa"/>
            <w:tcBorders>
              <w:bottom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1.45 </w:t>
            </w:r>
          </w:p>
        </w:tc>
        <w:tc>
          <w:tcPr>
            <w:tcW w:w="496" w:type="pct"/>
            <w:tcBorders>
              <w:bottom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0.6</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1.2</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99.2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942" w:type="pct"/>
            <w:tcBorders>
              <w:top w:val="nil"/>
              <w:bottom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轻质</w:t>
            </w:r>
          </w:p>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碳酸钠样品</w:t>
            </w:r>
          </w:p>
        </w:tc>
        <w:tc>
          <w:tcPr>
            <w:tcW w:w="584" w:type="dxa"/>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0.33</w:t>
            </w:r>
          </w:p>
        </w:tc>
        <w:tc>
          <w:tcPr>
            <w:tcW w:w="584" w:type="dxa"/>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0.34</w:t>
            </w:r>
          </w:p>
        </w:tc>
        <w:tc>
          <w:tcPr>
            <w:tcW w:w="584" w:type="dxa"/>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0.33</w:t>
            </w:r>
          </w:p>
        </w:tc>
        <w:tc>
          <w:tcPr>
            <w:tcW w:w="584" w:type="dxa"/>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0.33</w:t>
            </w:r>
          </w:p>
        </w:tc>
        <w:tc>
          <w:tcPr>
            <w:tcW w:w="584" w:type="dxa"/>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0.33</w:t>
            </w:r>
          </w:p>
        </w:tc>
        <w:tc>
          <w:tcPr>
            <w:tcW w:w="612" w:type="dxa"/>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0.33</w:t>
            </w:r>
          </w:p>
        </w:tc>
        <w:tc>
          <w:tcPr>
            <w:tcW w:w="846" w:type="dxa"/>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0.33 </w:t>
            </w:r>
          </w:p>
        </w:tc>
        <w:tc>
          <w:tcPr>
            <w:tcW w:w="496" w:type="pct"/>
            <w:tcBorders>
              <w:top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1.2</w:t>
            </w:r>
          </w:p>
        </w:tc>
        <w:tc>
          <w:tcPr>
            <w:tcW w:w="496" w:type="pct"/>
            <w:tcBorders>
              <w:tl2br w:val="nil"/>
              <w:tr2bl w:val="nil"/>
            </w:tcBorders>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w:t>
            </w:r>
          </w:p>
        </w:tc>
        <w:tc>
          <w:tcPr>
            <w:tcW w:w="496" w:type="pct"/>
            <w:tcBorders>
              <w:tl2br w:val="nil"/>
              <w:tr2bl w:val="nil"/>
            </w:tcBorders>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942" w:type="pct"/>
            <w:tcBorders>
              <w:top w:val="nil"/>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轻质碳酸钠样品-低浓度加标</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0.43</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0.42</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0.41</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0.43</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0.42</w:t>
            </w:r>
          </w:p>
        </w:tc>
        <w:tc>
          <w:tcPr>
            <w:tcW w:w="612"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0.43</w:t>
            </w:r>
          </w:p>
        </w:tc>
        <w:tc>
          <w:tcPr>
            <w:tcW w:w="846" w:type="dxa"/>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default" w:cs="Times New Roman"/>
                <w:color w:val="000000"/>
                <w:kern w:val="0"/>
                <w:sz w:val="21"/>
                <w:szCs w:val="21"/>
                <w:lang w:val="en-US" w:eastAsia="zh-CN"/>
              </w:rPr>
              <w:t xml:space="preserve">0.42 </w:t>
            </w:r>
          </w:p>
        </w:tc>
        <w:tc>
          <w:tcPr>
            <w:tcW w:w="496" w:type="pct"/>
            <w:tcBorders>
              <w:tl2br w:val="nil"/>
              <w:tr2bl w:val="nil"/>
            </w:tcBorders>
            <w:shd w:val="clear" w:color="auto" w:fill="auto"/>
            <w:vAlign w:val="center"/>
          </w:tcPr>
          <w:p>
            <w:pPr>
              <w:widowControl/>
              <w:spacing w:line="240" w:lineRule="auto"/>
              <w:ind w:firstLine="0" w:firstLineChars="0"/>
              <w:jc w:val="center"/>
              <w:rPr>
                <w:rFonts w:hint="eastAsia" w:cs="Times New Roman" w:eastAsiaTheme="minorEastAsia"/>
                <w:color w:val="000000"/>
                <w:kern w:val="0"/>
                <w:sz w:val="21"/>
                <w:szCs w:val="21"/>
                <w:lang w:val="en-US" w:eastAsia="zh-CN"/>
              </w:rPr>
            </w:pPr>
            <w:r>
              <w:rPr>
                <w:rFonts w:hint="eastAsia" w:cs="Times New Roman"/>
                <w:color w:val="000000"/>
                <w:kern w:val="0"/>
                <w:sz w:val="21"/>
                <w:szCs w:val="21"/>
              </w:rPr>
              <w:t>1.</w:t>
            </w:r>
            <w:r>
              <w:rPr>
                <w:rFonts w:hint="eastAsia" w:cs="Times New Roman"/>
                <w:color w:val="000000"/>
                <w:kern w:val="0"/>
                <w:sz w:val="21"/>
                <w:szCs w:val="21"/>
                <w:lang w:val="en-US" w:eastAsia="zh-CN"/>
              </w:rPr>
              <w:t>9</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0.1</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90.</w:t>
            </w:r>
            <w:r>
              <w:rPr>
                <w:rFonts w:hint="eastAsia" w:cs="Times New Roman"/>
                <w:color w:val="000000"/>
                <w:kern w:val="0"/>
                <w:sz w:val="21"/>
                <w:szCs w:val="21"/>
              </w:rPr>
              <w:t>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42"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轻质碳酸钠样品-中浓度加标</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0.73</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0.73</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0.72</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0.72</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0.71</w:t>
            </w:r>
          </w:p>
        </w:tc>
        <w:tc>
          <w:tcPr>
            <w:tcW w:w="612"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lang w:val="en-US" w:eastAsia="zh-CN"/>
              </w:rPr>
              <w:t>0.73</w:t>
            </w:r>
          </w:p>
        </w:tc>
        <w:tc>
          <w:tcPr>
            <w:tcW w:w="846" w:type="dxa"/>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default" w:cs="Times New Roman"/>
                <w:color w:val="000000"/>
                <w:kern w:val="0"/>
                <w:sz w:val="21"/>
                <w:szCs w:val="21"/>
                <w:lang w:val="en-US" w:eastAsia="zh-CN"/>
              </w:rPr>
              <w:t xml:space="preserve">0.72 </w:t>
            </w:r>
          </w:p>
        </w:tc>
        <w:tc>
          <w:tcPr>
            <w:tcW w:w="496" w:type="pct"/>
            <w:tcBorders>
              <w:tl2br w:val="nil"/>
              <w:tr2bl w:val="nil"/>
            </w:tcBorders>
            <w:shd w:val="clear" w:color="auto" w:fill="auto"/>
            <w:vAlign w:val="center"/>
          </w:tcPr>
          <w:p>
            <w:pPr>
              <w:widowControl/>
              <w:spacing w:line="240" w:lineRule="auto"/>
              <w:ind w:firstLine="0" w:firstLineChars="0"/>
              <w:jc w:val="center"/>
              <w:rPr>
                <w:rFonts w:hint="eastAsia" w:cs="Times New Roman" w:eastAsiaTheme="minorEastAsia"/>
                <w:color w:val="000000"/>
                <w:kern w:val="0"/>
                <w:sz w:val="21"/>
                <w:szCs w:val="21"/>
                <w:lang w:eastAsia="zh-CN"/>
              </w:rPr>
            </w:pPr>
            <w:r>
              <w:rPr>
                <w:rFonts w:hint="eastAsia" w:cs="Times New Roman"/>
                <w:color w:val="000000"/>
                <w:kern w:val="0"/>
                <w:sz w:val="21"/>
                <w:szCs w:val="21"/>
              </w:rPr>
              <w:t>1.</w:t>
            </w:r>
            <w:r>
              <w:rPr>
                <w:rFonts w:hint="eastAsia" w:cs="Times New Roman"/>
                <w:color w:val="000000"/>
                <w:kern w:val="0"/>
                <w:sz w:val="21"/>
                <w:szCs w:val="21"/>
                <w:lang w:val="en-US" w:eastAsia="zh-CN"/>
              </w:rPr>
              <w:t>1</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0.4</w:t>
            </w:r>
          </w:p>
        </w:tc>
        <w:tc>
          <w:tcPr>
            <w:tcW w:w="496" w:type="pct"/>
            <w:tcBorders>
              <w:tl2br w:val="nil"/>
              <w:tr2bl w:val="nil"/>
            </w:tcBorders>
            <w:shd w:val="clear" w:color="auto" w:fill="auto"/>
            <w:vAlign w:val="center"/>
          </w:tcPr>
          <w:p>
            <w:pPr>
              <w:widowControl/>
              <w:spacing w:line="240" w:lineRule="auto"/>
              <w:ind w:firstLine="0" w:firstLineChars="0"/>
              <w:jc w:val="center"/>
              <w:rPr>
                <w:rFonts w:hint="default" w:cs="Times New Roman"/>
                <w:color w:val="000000"/>
                <w:kern w:val="0"/>
                <w:sz w:val="21"/>
                <w:szCs w:val="21"/>
                <w:lang w:val="en-US"/>
              </w:rPr>
            </w:pPr>
            <w:r>
              <w:rPr>
                <w:rFonts w:hint="eastAsia" w:cs="Times New Roman"/>
                <w:color w:val="000000"/>
                <w:kern w:val="0"/>
                <w:sz w:val="21"/>
                <w:szCs w:val="21"/>
                <w:lang w:val="en-US" w:eastAsia="zh-CN"/>
              </w:rPr>
              <w:t>97.5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42"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轻质碳酸钠样品-高浓度加标</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1.49</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1.49</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1.49</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1.52</w:t>
            </w:r>
          </w:p>
        </w:tc>
        <w:tc>
          <w:tcPr>
            <w:tcW w:w="584"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1.51</w:t>
            </w:r>
          </w:p>
        </w:tc>
        <w:tc>
          <w:tcPr>
            <w:tcW w:w="612" w:type="dxa"/>
            <w:tcBorders>
              <w:tl2br w:val="nil"/>
              <w:tr2bl w:val="nil"/>
            </w:tcBorders>
            <w:shd w:val="clear" w:color="auto" w:fill="auto"/>
            <w:noWrap/>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1.50</w:t>
            </w:r>
          </w:p>
        </w:tc>
        <w:tc>
          <w:tcPr>
            <w:tcW w:w="846" w:type="dxa"/>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 xml:space="preserve">1.50 </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hint="eastAsia" w:cs="Times New Roman"/>
                <w:color w:val="000000"/>
                <w:kern w:val="0"/>
                <w:sz w:val="21"/>
                <w:szCs w:val="21"/>
              </w:rPr>
              <w:t>0.8</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1.2</w:t>
            </w:r>
          </w:p>
        </w:tc>
        <w:tc>
          <w:tcPr>
            <w:tcW w:w="496" w:type="pct"/>
            <w:tcBorders>
              <w:tl2br w:val="nil"/>
              <w:tr2bl w:val="nil"/>
            </w:tcBorders>
            <w:shd w:val="clear" w:color="auto" w:fill="auto"/>
            <w:vAlign w:val="center"/>
          </w:tcPr>
          <w:p>
            <w:pPr>
              <w:widowControl/>
              <w:spacing w:line="240" w:lineRule="auto"/>
              <w:ind w:firstLine="0" w:firstLineChars="0"/>
              <w:jc w:val="center"/>
              <w:rPr>
                <w:rFonts w:cs="Times New Roman"/>
                <w:color w:val="000000"/>
                <w:kern w:val="0"/>
                <w:sz w:val="21"/>
                <w:szCs w:val="21"/>
              </w:rPr>
            </w:pPr>
            <w:r>
              <w:rPr>
                <w:rFonts w:cs="Times New Roman"/>
                <w:color w:val="000000"/>
                <w:kern w:val="0"/>
                <w:sz w:val="21"/>
                <w:szCs w:val="21"/>
              </w:rPr>
              <w:t>9</w:t>
            </w:r>
            <w:r>
              <w:rPr>
                <w:rFonts w:hint="eastAsia" w:cs="Times New Roman"/>
                <w:color w:val="000000"/>
                <w:kern w:val="0"/>
                <w:sz w:val="21"/>
                <w:szCs w:val="21"/>
              </w:rPr>
              <w:t>7.5</w:t>
            </w:r>
          </w:p>
        </w:tc>
      </w:tr>
      <w:bookmarkEnd w:id="15"/>
    </w:tbl>
    <w:p>
      <w:pPr>
        <w:ind w:firstLine="480"/>
        <w:jc w:val="center"/>
      </w:pPr>
    </w:p>
    <w:p>
      <w:pPr>
        <w:ind w:firstLine="0" w:firstLineChars="0"/>
        <w:outlineLvl w:val="2"/>
        <w:rPr>
          <w:rFonts w:ascii="黑体" w:hAnsi="黑体" w:eastAsia="黑体" w:cs="黑体"/>
          <w:szCs w:val="24"/>
        </w:rPr>
      </w:pPr>
      <w:bookmarkStart w:id="16" w:name="_Toc20859"/>
      <w:r>
        <w:rPr>
          <w:rFonts w:hint="eastAsia" w:ascii="黑体" w:hAnsi="黑体" w:eastAsia="黑体" w:cs="黑体"/>
        </w:rPr>
        <w:t xml:space="preserve">3.6 </w:t>
      </w:r>
      <w:bookmarkEnd w:id="16"/>
      <w:r>
        <w:rPr>
          <w:rFonts w:hint="eastAsia" w:ascii="黑体" w:hAnsi="黑体" w:eastAsia="黑体" w:cs="黑体"/>
          <w:szCs w:val="24"/>
        </w:rPr>
        <w:t>实验室间的协同验证</w:t>
      </w:r>
    </w:p>
    <w:p>
      <w:pPr>
        <w:tabs>
          <w:tab w:val="left" w:pos="636"/>
        </w:tabs>
        <w:ind w:firstLine="480"/>
        <w:rPr>
          <w:rFonts w:eastAsia="宋体" w:cs="Times New Roman"/>
          <w:szCs w:val="24"/>
        </w:rPr>
      </w:pPr>
      <w:r>
        <w:rPr>
          <w:rFonts w:eastAsia="宋体" w:cs="Times New Roman"/>
          <w:szCs w:val="24"/>
        </w:rPr>
        <w:t>为了验证本标准方法的适用性，选取了不同地区，具备相应设备和能力的实验室开展了协同验证。共选取了</w:t>
      </w:r>
      <w:r>
        <w:rPr>
          <w:rFonts w:hint="eastAsia" w:eastAsia="宋体" w:cs="Times New Roman"/>
          <w:szCs w:val="24"/>
        </w:rPr>
        <w:t>7</w:t>
      </w:r>
      <w:r>
        <w:rPr>
          <w:rFonts w:eastAsia="宋体" w:cs="Times New Roman"/>
          <w:szCs w:val="24"/>
        </w:rPr>
        <w:t>家实验室，分别为</w:t>
      </w:r>
      <w:r>
        <w:rPr>
          <w:rFonts w:hint="eastAsia" w:cs="Times New Roman"/>
          <w:bCs/>
          <w:szCs w:val="24"/>
        </w:rPr>
        <w:t>中国国检测试控股集团青岛京诚有限公司（序号1）</w:t>
      </w:r>
      <w:r>
        <w:rPr>
          <w:rFonts w:cs="Times New Roman"/>
          <w:bCs/>
          <w:szCs w:val="24"/>
        </w:rPr>
        <w:t>、</w:t>
      </w:r>
      <w:r>
        <w:rPr>
          <w:rFonts w:hint="eastAsia" w:cs="Times New Roman"/>
          <w:bCs/>
          <w:szCs w:val="24"/>
        </w:rPr>
        <w:t>中检（深圳）环境服务有限公司（序号2）</w:t>
      </w:r>
      <w:r>
        <w:rPr>
          <w:rFonts w:cs="Times New Roman"/>
          <w:bCs/>
          <w:szCs w:val="24"/>
        </w:rPr>
        <w:t>、</w:t>
      </w:r>
      <w:r>
        <w:rPr>
          <w:rFonts w:hint="eastAsia" w:cs="Times New Roman"/>
          <w:bCs/>
          <w:szCs w:val="24"/>
        </w:rPr>
        <w:t>武汉海关技术中心仙桃检测实验室（序号3）</w:t>
      </w:r>
      <w:r>
        <w:rPr>
          <w:rFonts w:cs="Times New Roman"/>
          <w:bCs/>
          <w:szCs w:val="24"/>
        </w:rPr>
        <w:t>、</w:t>
      </w:r>
      <w:r>
        <w:rPr>
          <w:rFonts w:hint="eastAsia" w:cs="Times New Roman"/>
          <w:bCs/>
          <w:szCs w:val="24"/>
        </w:rPr>
        <w:t>湖北省纤维检验局（序号4）</w:t>
      </w:r>
      <w:r>
        <w:rPr>
          <w:rFonts w:cs="Times New Roman"/>
          <w:bCs/>
          <w:szCs w:val="24"/>
        </w:rPr>
        <w:t>、</w:t>
      </w:r>
      <w:r>
        <w:rPr>
          <w:rFonts w:hint="eastAsia" w:cs="Times New Roman"/>
          <w:bCs/>
          <w:szCs w:val="24"/>
        </w:rPr>
        <w:t>湖北科艾乐检测技术有限公司（序号5）、云南花卉技术培训推广中心分析检测中心（序号6）、中国检验认证集团福建有限公司（序号7）</w:t>
      </w:r>
      <w:r>
        <w:rPr>
          <w:rFonts w:eastAsia="宋体" w:cs="Times New Roman"/>
          <w:szCs w:val="24"/>
        </w:rPr>
        <w:t>。各实验室详细方法验证数据见</w:t>
      </w:r>
      <w:r>
        <w:rPr>
          <w:rFonts w:hint="eastAsia" w:eastAsia="宋体" w:cs="Times New Roman"/>
          <w:szCs w:val="24"/>
        </w:rPr>
        <w:t>实验室间协同验证报告</w:t>
      </w:r>
      <w:r>
        <w:rPr>
          <w:rFonts w:eastAsia="宋体" w:cs="Times New Roman"/>
          <w:szCs w:val="24"/>
        </w:rPr>
        <w:t>。表7提供了每家实验室的汇总数据。</w:t>
      </w:r>
    </w:p>
    <w:p>
      <w:pPr>
        <w:ind w:firstLine="480"/>
        <w:rPr>
          <w:rFonts w:hint="default" w:ascii="黑体" w:hAnsi="黑体" w:eastAsia="宋体" w:cs="黑体"/>
          <w:szCs w:val="24"/>
          <w:lang w:val="en-US" w:eastAsia="zh-CN"/>
        </w:rPr>
      </w:pPr>
      <w:r>
        <w:rPr>
          <w:rFonts w:eastAsia="宋体" w:cs="Times New Roman"/>
          <w:szCs w:val="24"/>
        </w:rPr>
        <w:t>从表7数据可得，</w:t>
      </w:r>
      <w:r>
        <w:rPr>
          <w:rFonts w:hint="eastAsia" w:eastAsia="宋体" w:cs="Times New Roman"/>
          <w:szCs w:val="24"/>
        </w:rPr>
        <w:t>7</w:t>
      </w:r>
      <w:r>
        <w:rPr>
          <w:rFonts w:eastAsia="宋体" w:cs="Times New Roman"/>
          <w:szCs w:val="24"/>
        </w:rPr>
        <w:t>家实验室所测得数据有较好的一致性，检出限</w:t>
      </w:r>
      <w:r>
        <w:rPr>
          <w:rFonts w:hint="eastAsia" w:eastAsia="宋体" w:cs="Times New Roman"/>
          <w:szCs w:val="24"/>
        </w:rPr>
        <w:t>范围</w:t>
      </w:r>
      <w:r>
        <w:rPr>
          <w:rFonts w:hint="eastAsia" w:eastAsia="宋体" w:cs="Times New Roman"/>
          <w:szCs w:val="24"/>
          <w:lang w:val="en-US" w:eastAsia="zh-CN"/>
        </w:rPr>
        <w:t>在</w:t>
      </w:r>
      <w:r>
        <w:rPr>
          <w:rFonts w:hint="eastAsia" w:eastAsia="宋体" w:cs="Times New Roman"/>
          <w:szCs w:val="24"/>
        </w:rPr>
        <w:t>0.002%~</w:t>
      </w:r>
      <w:r>
        <w:rPr>
          <w:rFonts w:hint="eastAsia" w:eastAsia="宋体" w:cs="Times New Roman"/>
          <w:szCs w:val="24"/>
          <w:lang w:val="en-US" w:eastAsia="zh-CN"/>
        </w:rPr>
        <w:t>0.004%</w:t>
      </w:r>
      <w:r>
        <w:rPr>
          <w:rFonts w:hint="eastAsia" w:eastAsia="宋体" w:cs="Times New Roman"/>
          <w:szCs w:val="24"/>
        </w:rPr>
        <w:t>，精密度范围在1.</w:t>
      </w:r>
      <w:r>
        <w:rPr>
          <w:rFonts w:hint="eastAsia" w:eastAsia="宋体" w:cs="Times New Roman"/>
          <w:szCs w:val="24"/>
          <w:lang w:val="en-US" w:eastAsia="zh-CN"/>
        </w:rPr>
        <w:t>5</w:t>
      </w:r>
      <w:r>
        <w:rPr>
          <w:rFonts w:hint="eastAsia" w:eastAsia="宋体" w:cs="Times New Roman"/>
          <w:szCs w:val="24"/>
        </w:rPr>
        <w:t>%~4.4%，回收率范围在90.0%~101%，以上数据均满足</w:t>
      </w:r>
      <w:r>
        <w:rPr>
          <w:rFonts w:eastAsia="宋体" w:cs="Times New Roman"/>
          <w:szCs w:val="24"/>
        </w:rPr>
        <w:t>GB/T 27417-2017 《合格评定 化学分析方法确认和验证指南》中附录A及附录B对回收率和精密度的要求</w:t>
      </w:r>
      <w:r>
        <w:rPr>
          <w:rFonts w:hint="eastAsia" w:eastAsia="宋体" w:cs="Times New Roman"/>
          <w:szCs w:val="24"/>
          <w:lang w:eastAsia="zh-CN"/>
        </w:rPr>
        <w:t>，</w:t>
      </w:r>
      <w:r>
        <w:rPr>
          <w:rFonts w:hint="eastAsia" w:eastAsia="宋体" w:cs="Times New Roman"/>
          <w:szCs w:val="24"/>
          <w:lang w:val="en-US" w:eastAsia="zh-CN"/>
        </w:rPr>
        <w:t>证明本标准所述方法具有较好的一致性和适用性，能够满足工业碳酸钠中氯化物的检测。</w:t>
      </w:r>
    </w:p>
    <w:p>
      <w:pPr>
        <w:ind w:firstLine="0" w:firstLineChars="0"/>
        <w:jc w:val="center"/>
        <w:outlineLvl w:val="2"/>
        <w:rPr>
          <w:rFonts w:ascii="黑体" w:hAnsi="黑体" w:eastAsia="黑体" w:cs="黑体"/>
          <w:szCs w:val="24"/>
        </w:rPr>
      </w:pPr>
      <w:r>
        <w:rPr>
          <w:rFonts w:hint="eastAsia" w:ascii="黑体" w:hAnsi="黑体" w:eastAsia="黑体" w:cs="黑体"/>
          <w:szCs w:val="24"/>
        </w:rPr>
        <w:t>表7 实验室间的协同验证数据汇总表</w:t>
      </w:r>
    </w:p>
    <w:tbl>
      <w:tblPr>
        <w:tblStyle w:val="16"/>
        <w:tblW w:w="5211" w:type="pct"/>
        <w:tblInd w:w="-133"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19"/>
        <w:gridCol w:w="919"/>
        <w:gridCol w:w="900"/>
        <w:gridCol w:w="790"/>
        <w:gridCol w:w="790"/>
        <w:gridCol w:w="853"/>
        <w:gridCol w:w="888"/>
        <w:gridCol w:w="799"/>
        <w:gridCol w:w="780"/>
        <w:gridCol w:w="84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trPr>
        <w:tc>
          <w:tcPr>
            <w:tcW w:w="742" w:type="pct"/>
            <w:vMerge w:val="restart"/>
            <w:tcBorders>
              <w:bottom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实验室序号</w:t>
            </w:r>
          </w:p>
        </w:tc>
        <w:tc>
          <w:tcPr>
            <w:tcW w:w="517" w:type="pct"/>
            <w:vMerge w:val="restart"/>
            <w:tcBorders>
              <w:bottom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检出限</w:t>
            </w:r>
          </w:p>
          <w:p>
            <w:pPr>
              <w:ind w:firstLine="0" w:firstLineChars="0"/>
              <w:jc w:val="center"/>
              <w:rPr>
                <w:rFonts w:eastAsia="宋体" w:cs="Times New Roman"/>
                <w:sz w:val="21"/>
                <w:szCs w:val="21"/>
              </w:rPr>
            </w:pPr>
            <w:r>
              <w:rPr>
                <w:rFonts w:hint="eastAsia" w:eastAsia="宋体" w:cs="Times New Roman"/>
                <w:sz w:val="21"/>
                <w:szCs w:val="21"/>
              </w:rPr>
              <w:t>%</w:t>
            </w:r>
          </w:p>
        </w:tc>
        <w:tc>
          <w:tcPr>
            <w:tcW w:w="1874" w:type="pct"/>
            <w:gridSpan w:val="4"/>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重质碳酸钠</w:t>
            </w:r>
          </w:p>
        </w:tc>
        <w:tc>
          <w:tcPr>
            <w:tcW w:w="1864" w:type="pct"/>
            <w:gridSpan w:val="4"/>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轻质碳酸钠</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742" w:type="pct"/>
            <w:vMerge w:val="continue"/>
            <w:tcBorders>
              <w:top w:val="single" w:color="auto" w:sz="6" w:space="0"/>
              <w:bottom w:val="single" w:color="auto" w:sz="6" w:space="0"/>
            </w:tcBorders>
            <w:vAlign w:val="center"/>
          </w:tcPr>
          <w:p>
            <w:pPr>
              <w:ind w:firstLine="0" w:firstLineChars="0"/>
              <w:jc w:val="center"/>
              <w:rPr>
                <w:rFonts w:eastAsia="宋体" w:cs="Times New Roman"/>
                <w:sz w:val="21"/>
                <w:szCs w:val="21"/>
              </w:rPr>
            </w:pPr>
          </w:p>
        </w:tc>
        <w:tc>
          <w:tcPr>
            <w:tcW w:w="517" w:type="pct"/>
            <w:vMerge w:val="continue"/>
            <w:tcBorders>
              <w:top w:val="single" w:color="auto" w:sz="6" w:space="0"/>
              <w:bottom w:val="single" w:color="auto" w:sz="6" w:space="0"/>
            </w:tcBorders>
            <w:vAlign w:val="center"/>
          </w:tcPr>
          <w:p>
            <w:pPr>
              <w:ind w:firstLine="0" w:firstLineChars="0"/>
              <w:jc w:val="center"/>
              <w:rPr>
                <w:rFonts w:eastAsia="宋体" w:cs="Times New Roman"/>
                <w:sz w:val="21"/>
                <w:szCs w:val="21"/>
              </w:rPr>
            </w:pPr>
          </w:p>
        </w:tc>
        <w:tc>
          <w:tcPr>
            <w:tcW w:w="506" w:type="pct"/>
            <w:vMerge w:val="restart"/>
            <w:vAlign w:val="center"/>
          </w:tcPr>
          <w:p>
            <w:pPr>
              <w:spacing w:line="240" w:lineRule="auto"/>
              <w:ind w:firstLine="0" w:firstLineChars="0"/>
              <w:jc w:val="center"/>
              <w:rPr>
                <w:rFonts w:eastAsia="宋体" w:cs="Times New Roman"/>
                <w:sz w:val="21"/>
                <w:szCs w:val="21"/>
              </w:rPr>
            </w:pPr>
            <w:r>
              <w:rPr>
                <w:rFonts w:eastAsia="宋体" w:cs="Times New Roman"/>
                <w:sz w:val="21"/>
                <w:szCs w:val="21"/>
              </w:rPr>
              <w:t>精密度</w:t>
            </w:r>
          </w:p>
          <w:p>
            <w:pPr>
              <w:spacing w:line="240" w:lineRule="auto"/>
              <w:ind w:firstLine="0" w:firstLineChars="0"/>
              <w:jc w:val="center"/>
              <w:rPr>
                <w:rFonts w:eastAsia="宋体" w:cs="Times New Roman"/>
                <w:sz w:val="21"/>
                <w:szCs w:val="21"/>
              </w:rPr>
            </w:pPr>
            <w:r>
              <w:rPr>
                <w:rFonts w:hint="eastAsia" w:eastAsia="宋体" w:cs="Times New Roman"/>
                <w:sz w:val="21"/>
                <w:szCs w:val="21"/>
              </w:rPr>
              <w:t>%</w:t>
            </w:r>
          </w:p>
        </w:tc>
        <w:tc>
          <w:tcPr>
            <w:tcW w:w="1367" w:type="pct"/>
            <w:gridSpan w:val="3"/>
            <w:tcBorders>
              <w:bottom w:val="nil"/>
            </w:tcBorders>
            <w:vAlign w:val="center"/>
          </w:tcPr>
          <w:p>
            <w:pPr>
              <w:spacing w:line="240" w:lineRule="auto"/>
              <w:ind w:firstLine="0" w:firstLineChars="0"/>
              <w:jc w:val="center"/>
              <w:rPr>
                <w:rFonts w:eastAsia="宋体" w:cs="Times New Roman"/>
                <w:sz w:val="21"/>
                <w:szCs w:val="21"/>
              </w:rPr>
            </w:pPr>
            <w:r>
              <w:rPr>
                <w:rFonts w:eastAsia="宋体" w:cs="Times New Roman"/>
                <w:sz w:val="21"/>
                <w:szCs w:val="21"/>
              </w:rPr>
              <w:t>回收率</w:t>
            </w:r>
            <w:r>
              <w:rPr>
                <w:rFonts w:hint="eastAsia" w:eastAsia="宋体" w:cs="Times New Roman"/>
                <w:sz w:val="21"/>
                <w:szCs w:val="21"/>
              </w:rPr>
              <w:t>%</w:t>
            </w:r>
          </w:p>
        </w:tc>
        <w:tc>
          <w:tcPr>
            <w:tcW w:w="500" w:type="pct"/>
            <w:vMerge w:val="restart"/>
            <w:vAlign w:val="center"/>
          </w:tcPr>
          <w:p>
            <w:pPr>
              <w:spacing w:line="240" w:lineRule="auto"/>
              <w:ind w:firstLine="0" w:firstLineChars="0"/>
              <w:jc w:val="center"/>
              <w:rPr>
                <w:rFonts w:eastAsia="宋体" w:cs="Times New Roman"/>
                <w:sz w:val="21"/>
                <w:szCs w:val="21"/>
              </w:rPr>
            </w:pPr>
            <w:r>
              <w:rPr>
                <w:rFonts w:eastAsia="宋体" w:cs="Times New Roman"/>
                <w:sz w:val="21"/>
                <w:szCs w:val="21"/>
              </w:rPr>
              <w:t>精密度</w:t>
            </w:r>
          </w:p>
          <w:p>
            <w:pPr>
              <w:spacing w:line="240" w:lineRule="auto"/>
              <w:ind w:firstLine="0" w:firstLineChars="0"/>
              <w:jc w:val="center"/>
              <w:rPr>
                <w:rFonts w:eastAsia="宋体" w:cs="Times New Roman"/>
                <w:sz w:val="21"/>
                <w:szCs w:val="21"/>
              </w:rPr>
            </w:pPr>
            <w:r>
              <w:rPr>
                <w:rFonts w:hint="eastAsia" w:eastAsia="宋体" w:cs="Times New Roman"/>
                <w:sz w:val="21"/>
                <w:szCs w:val="21"/>
              </w:rPr>
              <w:t>%</w:t>
            </w:r>
          </w:p>
        </w:tc>
        <w:tc>
          <w:tcPr>
            <w:tcW w:w="1363" w:type="pct"/>
            <w:gridSpan w:val="3"/>
            <w:vAlign w:val="center"/>
          </w:tcPr>
          <w:p>
            <w:pPr>
              <w:spacing w:line="240" w:lineRule="auto"/>
              <w:ind w:firstLine="0" w:firstLineChars="0"/>
              <w:jc w:val="center"/>
              <w:rPr>
                <w:rFonts w:eastAsia="宋体" w:cs="Times New Roman"/>
                <w:sz w:val="21"/>
                <w:szCs w:val="21"/>
              </w:rPr>
            </w:pPr>
            <w:r>
              <w:rPr>
                <w:rFonts w:eastAsia="宋体" w:cs="Times New Roman"/>
                <w:sz w:val="21"/>
                <w:szCs w:val="21"/>
              </w:rPr>
              <w:t>回收率</w:t>
            </w:r>
            <w:r>
              <w:rPr>
                <w:rFonts w:hint="eastAsia" w:eastAsia="宋体" w:cs="Times New Roman"/>
                <w:sz w:val="21"/>
                <w:szCs w:val="21"/>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742" w:type="pct"/>
            <w:vMerge w:val="continue"/>
            <w:tcBorders>
              <w:bottom w:val="single" w:color="auto" w:sz="6" w:space="0"/>
            </w:tcBorders>
            <w:vAlign w:val="center"/>
          </w:tcPr>
          <w:p>
            <w:pPr>
              <w:ind w:firstLine="0" w:firstLineChars="0"/>
              <w:jc w:val="center"/>
            </w:pPr>
          </w:p>
        </w:tc>
        <w:tc>
          <w:tcPr>
            <w:tcW w:w="517" w:type="pct"/>
            <w:vMerge w:val="continue"/>
            <w:tcBorders>
              <w:bottom w:val="single" w:color="auto" w:sz="6" w:space="0"/>
            </w:tcBorders>
            <w:vAlign w:val="center"/>
          </w:tcPr>
          <w:p>
            <w:pPr>
              <w:ind w:firstLine="0" w:firstLineChars="0"/>
              <w:jc w:val="center"/>
            </w:pPr>
          </w:p>
        </w:tc>
        <w:tc>
          <w:tcPr>
            <w:tcW w:w="506" w:type="pct"/>
            <w:vMerge w:val="continue"/>
            <w:tcBorders>
              <w:bottom w:val="single" w:color="auto" w:sz="6" w:space="0"/>
            </w:tcBorders>
            <w:vAlign w:val="center"/>
          </w:tcPr>
          <w:p>
            <w:pPr>
              <w:spacing w:line="240" w:lineRule="auto"/>
              <w:ind w:firstLine="0" w:firstLineChars="0"/>
              <w:jc w:val="center"/>
            </w:pPr>
          </w:p>
        </w:tc>
        <w:tc>
          <w:tcPr>
            <w:tcW w:w="444" w:type="pct"/>
            <w:tcBorders>
              <w:top w:val="nil"/>
              <w:bottom w:val="single" w:color="auto" w:sz="6" w:space="0"/>
            </w:tcBorders>
            <w:vAlign w:val="center"/>
          </w:tcPr>
          <w:p>
            <w:pPr>
              <w:spacing w:line="240" w:lineRule="auto"/>
              <w:ind w:firstLine="0" w:firstLineChars="0"/>
              <w:jc w:val="center"/>
              <w:rPr>
                <w:rFonts w:eastAsia="宋体" w:cs="Times New Roman"/>
                <w:sz w:val="18"/>
                <w:szCs w:val="18"/>
              </w:rPr>
            </w:pPr>
            <w:r>
              <w:rPr>
                <w:rFonts w:eastAsia="宋体" w:cs="Times New Roman"/>
                <w:sz w:val="18"/>
                <w:szCs w:val="18"/>
              </w:rPr>
              <w:t>低水平</w:t>
            </w:r>
          </w:p>
        </w:tc>
        <w:tc>
          <w:tcPr>
            <w:tcW w:w="444" w:type="pct"/>
            <w:tcBorders>
              <w:top w:val="nil"/>
              <w:bottom w:val="single" w:color="auto" w:sz="6" w:space="0"/>
            </w:tcBorders>
            <w:vAlign w:val="center"/>
          </w:tcPr>
          <w:p>
            <w:pPr>
              <w:spacing w:line="240" w:lineRule="auto"/>
              <w:ind w:firstLine="0" w:firstLineChars="0"/>
              <w:jc w:val="center"/>
              <w:rPr>
                <w:rFonts w:eastAsia="宋体" w:cs="Times New Roman"/>
                <w:sz w:val="18"/>
                <w:szCs w:val="18"/>
              </w:rPr>
            </w:pPr>
            <w:r>
              <w:rPr>
                <w:rFonts w:eastAsia="宋体" w:cs="Times New Roman"/>
                <w:sz w:val="18"/>
                <w:szCs w:val="18"/>
              </w:rPr>
              <w:t>中水平</w:t>
            </w:r>
          </w:p>
        </w:tc>
        <w:tc>
          <w:tcPr>
            <w:tcW w:w="478" w:type="pct"/>
            <w:tcBorders>
              <w:top w:val="nil"/>
              <w:bottom w:val="single" w:color="auto" w:sz="6" w:space="0"/>
            </w:tcBorders>
            <w:vAlign w:val="center"/>
          </w:tcPr>
          <w:p>
            <w:pPr>
              <w:spacing w:line="240" w:lineRule="auto"/>
              <w:ind w:firstLine="0" w:firstLineChars="0"/>
              <w:jc w:val="center"/>
              <w:rPr>
                <w:rFonts w:eastAsia="宋体" w:cs="Times New Roman"/>
                <w:sz w:val="18"/>
                <w:szCs w:val="18"/>
              </w:rPr>
            </w:pPr>
            <w:r>
              <w:rPr>
                <w:rFonts w:eastAsia="宋体" w:cs="Times New Roman"/>
                <w:sz w:val="18"/>
                <w:szCs w:val="18"/>
              </w:rPr>
              <w:t>高水平</w:t>
            </w:r>
          </w:p>
        </w:tc>
        <w:tc>
          <w:tcPr>
            <w:tcW w:w="500" w:type="pct"/>
            <w:vMerge w:val="continue"/>
            <w:vAlign w:val="center"/>
          </w:tcPr>
          <w:p>
            <w:pPr>
              <w:spacing w:line="240" w:lineRule="auto"/>
              <w:ind w:firstLine="0" w:firstLineChars="0"/>
              <w:jc w:val="center"/>
              <w:rPr>
                <w:rFonts w:eastAsia="宋体" w:cs="Times New Roman"/>
                <w:sz w:val="18"/>
                <w:szCs w:val="18"/>
              </w:rPr>
            </w:pPr>
          </w:p>
        </w:tc>
        <w:tc>
          <w:tcPr>
            <w:tcW w:w="450" w:type="pct"/>
            <w:tcBorders>
              <w:bottom w:val="single" w:color="auto" w:sz="6" w:space="0"/>
            </w:tcBorders>
            <w:vAlign w:val="center"/>
          </w:tcPr>
          <w:p>
            <w:pPr>
              <w:spacing w:line="240" w:lineRule="auto"/>
              <w:ind w:firstLine="0" w:firstLineChars="0"/>
              <w:jc w:val="center"/>
              <w:rPr>
                <w:rFonts w:eastAsia="宋体" w:cs="Times New Roman"/>
                <w:sz w:val="18"/>
                <w:szCs w:val="18"/>
              </w:rPr>
            </w:pPr>
            <w:r>
              <w:rPr>
                <w:rFonts w:eastAsia="宋体" w:cs="Times New Roman"/>
                <w:sz w:val="18"/>
                <w:szCs w:val="18"/>
              </w:rPr>
              <w:t>低水平</w:t>
            </w:r>
          </w:p>
        </w:tc>
        <w:tc>
          <w:tcPr>
            <w:tcW w:w="439" w:type="pct"/>
            <w:tcBorders>
              <w:bottom w:val="single" w:color="auto" w:sz="6" w:space="0"/>
            </w:tcBorders>
            <w:vAlign w:val="center"/>
          </w:tcPr>
          <w:p>
            <w:pPr>
              <w:ind w:firstLine="0" w:firstLineChars="0"/>
              <w:jc w:val="center"/>
              <w:rPr>
                <w:rFonts w:eastAsia="宋体" w:cs="Times New Roman"/>
                <w:sz w:val="18"/>
                <w:szCs w:val="18"/>
              </w:rPr>
            </w:pPr>
            <w:r>
              <w:rPr>
                <w:rFonts w:eastAsia="宋体" w:cs="Times New Roman"/>
                <w:sz w:val="18"/>
                <w:szCs w:val="18"/>
              </w:rPr>
              <w:t>中水平</w:t>
            </w:r>
          </w:p>
        </w:tc>
        <w:tc>
          <w:tcPr>
            <w:tcW w:w="474" w:type="pct"/>
            <w:tcBorders>
              <w:bottom w:val="single" w:color="auto" w:sz="6" w:space="0"/>
            </w:tcBorders>
            <w:vAlign w:val="center"/>
          </w:tcPr>
          <w:p>
            <w:pPr>
              <w:ind w:firstLine="0" w:firstLineChars="0"/>
              <w:jc w:val="center"/>
              <w:rPr>
                <w:rFonts w:eastAsia="宋体" w:cs="Times New Roman"/>
                <w:sz w:val="18"/>
                <w:szCs w:val="18"/>
              </w:rPr>
            </w:pPr>
            <w:r>
              <w:rPr>
                <w:rFonts w:eastAsia="宋体" w:cs="Times New Roman"/>
                <w:sz w:val="18"/>
                <w:szCs w:val="18"/>
              </w:rPr>
              <w:t>高水平</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42" w:type="pct"/>
            <w:tcBorders>
              <w:top w:val="single" w:color="auto" w:sz="6" w:space="0"/>
            </w:tcBorders>
            <w:vAlign w:val="center"/>
          </w:tcPr>
          <w:p>
            <w:pPr>
              <w:ind w:firstLine="0" w:firstLineChars="0"/>
              <w:jc w:val="center"/>
              <w:rPr>
                <w:rFonts w:eastAsia="宋体" w:cs="Times New Roman"/>
                <w:sz w:val="21"/>
                <w:szCs w:val="21"/>
              </w:rPr>
            </w:pPr>
            <w:r>
              <w:rPr>
                <w:rFonts w:eastAsia="宋体" w:cs="Times New Roman"/>
                <w:sz w:val="21"/>
                <w:szCs w:val="21"/>
              </w:rPr>
              <w:t>1</w:t>
            </w:r>
          </w:p>
        </w:tc>
        <w:tc>
          <w:tcPr>
            <w:tcW w:w="517" w:type="pct"/>
            <w:tcBorders>
              <w:top w:val="single" w:color="auto" w:sz="6" w:space="0"/>
            </w:tcBorders>
            <w:vAlign w:val="center"/>
          </w:tcPr>
          <w:p>
            <w:pPr>
              <w:ind w:firstLine="0" w:firstLineChars="0"/>
              <w:jc w:val="center"/>
              <w:rPr>
                <w:rFonts w:hint="eastAsia" w:eastAsia="宋体" w:cs="Times New Roman"/>
                <w:sz w:val="21"/>
                <w:szCs w:val="21"/>
                <w:lang w:eastAsia="zh-CN"/>
              </w:rPr>
            </w:pPr>
            <w:r>
              <w:rPr>
                <w:rFonts w:hint="eastAsia" w:eastAsia="宋体" w:cs="Times New Roman"/>
                <w:sz w:val="21"/>
                <w:szCs w:val="21"/>
              </w:rPr>
              <w:t>0.00</w:t>
            </w:r>
            <w:r>
              <w:rPr>
                <w:rFonts w:hint="eastAsia" w:eastAsia="宋体" w:cs="Times New Roman"/>
                <w:sz w:val="21"/>
                <w:szCs w:val="21"/>
                <w:lang w:val="en-US" w:eastAsia="zh-CN"/>
              </w:rPr>
              <w:t>3</w:t>
            </w:r>
          </w:p>
        </w:tc>
        <w:tc>
          <w:tcPr>
            <w:tcW w:w="900" w:type="dxa"/>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3.3</w:t>
            </w:r>
          </w:p>
        </w:tc>
        <w:tc>
          <w:tcPr>
            <w:tcW w:w="444" w:type="pct"/>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90.0</w:t>
            </w:r>
          </w:p>
        </w:tc>
        <w:tc>
          <w:tcPr>
            <w:tcW w:w="444" w:type="pct"/>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95.0</w:t>
            </w:r>
          </w:p>
        </w:tc>
        <w:tc>
          <w:tcPr>
            <w:tcW w:w="478" w:type="pct"/>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99.2</w:t>
            </w:r>
          </w:p>
        </w:tc>
        <w:tc>
          <w:tcPr>
            <w:tcW w:w="890" w:type="dxa"/>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2.4</w:t>
            </w:r>
          </w:p>
        </w:tc>
        <w:tc>
          <w:tcPr>
            <w:tcW w:w="450" w:type="pct"/>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lang w:val="en-US" w:eastAsia="zh-CN"/>
              </w:rPr>
              <w:t>90.</w:t>
            </w:r>
            <w:r>
              <w:rPr>
                <w:rFonts w:hint="eastAsia" w:eastAsia="宋体" w:cs="Times New Roman"/>
                <w:sz w:val="21"/>
                <w:szCs w:val="21"/>
              </w:rPr>
              <w:t>0</w:t>
            </w:r>
          </w:p>
        </w:tc>
        <w:tc>
          <w:tcPr>
            <w:tcW w:w="439" w:type="pct"/>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95.0</w:t>
            </w:r>
          </w:p>
        </w:tc>
        <w:tc>
          <w:tcPr>
            <w:tcW w:w="474" w:type="pct"/>
            <w:tcBorders>
              <w:top w:val="single" w:color="auto" w:sz="6" w:space="0"/>
            </w:tcBorders>
            <w:vAlign w:val="center"/>
          </w:tcPr>
          <w:p>
            <w:pPr>
              <w:ind w:firstLine="0" w:firstLineChars="0"/>
              <w:jc w:val="center"/>
              <w:rPr>
                <w:rFonts w:eastAsia="宋体" w:cs="Times New Roman"/>
                <w:sz w:val="21"/>
                <w:szCs w:val="21"/>
              </w:rPr>
            </w:pPr>
            <w:r>
              <w:rPr>
                <w:rFonts w:hint="eastAsia" w:eastAsia="宋体" w:cs="Times New Roman"/>
                <w:sz w:val="21"/>
                <w:szCs w:val="21"/>
              </w:rPr>
              <w:t>98.3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42"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2</w:t>
            </w:r>
          </w:p>
        </w:tc>
        <w:tc>
          <w:tcPr>
            <w:tcW w:w="517"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0.002</w:t>
            </w:r>
          </w:p>
        </w:tc>
        <w:tc>
          <w:tcPr>
            <w:tcW w:w="90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3.0</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90.0</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97.5</w:t>
            </w:r>
          </w:p>
        </w:tc>
        <w:tc>
          <w:tcPr>
            <w:tcW w:w="478"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99.2</w:t>
            </w:r>
          </w:p>
        </w:tc>
        <w:tc>
          <w:tcPr>
            <w:tcW w:w="89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1.6</w:t>
            </w:r>
          </w:p>
        </w:tc>
        <w:tc>
          <w:tcPr>
            <w:tcW w:w="4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90.0</w:t>
            </w:r>
          </w:p>
        </w:tc>
        <w:tc>
          <w:tcPr>
            <w:tcW w:w="439"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97.5</w:t>
            </w:r>
          </w:p>
        </w:tc>
        <w:tc>
          <w:tcPr>
            <w:tcW w:w="47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42"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3</w:t>
            </w:r>
          </w:p>
        </w:tc>
        <w:tc>
          <w:tcPr>
            <w:tcW w:w="517"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0.002</w:t>
            </w:r>
          </w:p>
        </w:tc>
        <w:tc>
          <w:tcPr>
            <w:tcW w:w="90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2.3</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93.3</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96.7</w:t>
            </w:r>
          </w:p>
        </w:tc>
        <w:tc>
          <w:tcPr>
            <w:tcW w:w="478"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99.9</w:t>
            </w:r>
          </w:p>
        </w:tc>
        <w:tc>
          <w:tcPr>
            <w:tcW w:w="89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2.9</w:t>
            </w:r>
          </w:p>
        </w:tc>
        <w:tc>
          <w:tcPr>
            <w:tcW w:w="4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95.0</w:t>
            </w:r>
          </w:p>
        </w:tc>
        <w:tc>
          <w:tcPr>
            <w:tcW w:w="439"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96.3</w:t>
            </w:r>
          </w:p>
        </w:tc>
        <w:tc>
          <w:tcPr>
            <w:tcW w:w="47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96.9</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42"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4</w:t>
            </w:r>
          </w:p>
        </w:tc>
        <w:tc>
          <w:tcPr>
            <w:tcW w:w="517" w:type="pct"/>
            <w:tcBorders>
              <w:tl2br w:val="nil"/>
              <w:tr2bl w:val="nil"/>
            </w:tcBorders>
            <w:vAlign w:val="center"/>
          </w:tcPr>
          <w:p>
            <w:pPr>
              <w:ind w:firstLine="0" w:firstLineChars="0"/>
              <w:jc w:val="center"/>
              <w:rPr>
                <w:rFonts w:hint="eastAsia" w:eastAsia="宋体" w:cs="Times New Roman"/>
                <w:sz w:val="21"/>
                <w:szCs w:val="21"/>
                <w:lang w:eastAsia="zh-CN"/>
              </w:rPr>
            </w:pPr>
            <w:r>
              <w:rPr>
                <w:rFonts w:hint="eastAsia" w:eastAsia="宋体" w:cs="Times New Roman"/>
                <w:sz w:val="21"/>
                <w:szCs w:val="21"/>
              </w:rPr>
              <w:t>0.00</w:t>
            </w:r>
            <w:r>
              <w:rPr>
                <w:rFonts w:hint="eastAsia" w:eastAsia="宋体" w:cs="Times New Roman"/>
                <w:sz w:val="21"/>
                <w:szCs w:val="21"/>
                <w:lang w:val="en-US" w:eastAsia="zh-CN"/>
              </w:rPr>
              <w:t>3</w:t>
            </w:r>
          </w:p>
        </w:tc>
        <w:tc>
          <w:tcPr>
            <w:tcW w:w="90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4.2</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95.0</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95.8</w:t>
            </w:r>
          </w:p>
        </w:tc>
        <w:tc>
          <w:tcPr>
            <w:tcW w:w="478"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97.6</w:t>
            </w:r>
          </w:p>
        </w:tc>
        <w:tc>
          <w:tcPr>
            <w:tcW w:w="89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2.2</w:t>
            </w:r>
          </w:p>
        </w:tc>
        <w:tc>
          <w:tcPr>
            <w:tcW w:w="4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93.3</w:t>
            </w:r>
          </w:p>
        </w:tc>
        <w:tc>
          <w:tcPr>
            <w:tcW w:w="439"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94.2</w:t>
            </w:r>
          </w:p>
        </w:tc>
        <w:tc>
          <w:tcPr>
            <w:tcW w:w="47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99.6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42"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5</w:t>
            </w:r>
          </w:p>
        </w:tc>
        <w:tc>
          <w:tcPr>
            <w:tcW w:w="517" w:type="pct"/>
            <w:tcBorders>
              <w:tl2br w:val="nil"/>
              <w:tr2bl w:val="nil"/>
            </w:tcBorders>
            <w:vAlign w:val="center"/>
          </w:tcPr>
          <w:p>
            <w:pPr>
              <w:ind w:firstLine="0" w:firstLineChars="0"/>
              <w:jc w:val="center"/>
              <w:rPr>
                <w:rFonts w:hint="eastAsia" w:eastAsia="宋体" w:cs="Times New Roman"/>
                <w:sz w:val="21"/>
                <w:szCs w:val="21"/>
                <w:lang w:eastAsia="zh-CN"/>
              </w:rPr>
            </w:pPr>
            <w:r>
              <w:rPr>
                <w:rFonts w:hint="eastAsia" w:eastAsia="宋体" w:cs="Times New Roman"/>
                <w:sz w:val="21"/>
                <w:szCs w:val="21"/>
              </w:rPr>
              <w:t>0.00</w:t>
            </w:r>
            <w:r>
              <w:rPr>
                <w:rFonts w:hint="eastAsia" w:eastAsia="宋体" w:cs="Times New Roman"/>
                <w:sz w:val="21"/>
                <w:szCs w:val="21"/>
                <w:lang w:val="en-US" w:eastAsia="zh-CN"/>
              </w:rPr>
              <w:t>4</w:t>
            </w:r>
          </w:p>
        </w:tc>
        <w:tc>
          <w:tcPr>
            <w:tcW w:w="90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1.7</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90.0</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95.0</w:t>
            </w:r>
          </w:p>
        </w:tc>
        <w:tc>
          <w:tcPr>
            <w:tcW w:w="478"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97.5</w:t>
            </w:r>
          </w:p>
        </w:tc>
        <w:tc>
          <w:tcPr>
            <w:tcW w:w="89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1.5</w:t>
            </w:r>
          </w:p>
        </w:tc>
        <w:tc>
          <w:tcPr>
            <w:tcW w:w="4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90.0</w:t>
            </w:r>
          </w:p>
        </w:tc>
        <w:tc>
          <w:tcPr>
            <w:tcW w:w="439"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97.5</w:t>
            </w:r>
          </w:p>
        </w:tc>
        <w:tc>
          <w:tcPr>
            <w:tcW w:w="47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101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42" w:type="pct"/>
            <w:tcBorders>
              <w:tl2br w:val="nil"/>
              <w:tr2bl w:val="nil"/>
            </w:tcBorders>
            <w:vAlign w:val="center"/>
          </w:tcPr>
          <w:p>
            <w:pPr>
              <w:ind w:firstLine="0" w:firstLineChars="0"/>
              <w:jc w:val="center"/>
              <w:rPr>
                <w:rFonts w:eastAsia="宋体" w:cs="Times New Roman"/>
                <w:sz w:val="21"/>
                <w:szCs w:val="21"/>
              </w:rPr>
            </w:pPr>
            <w:r>
              <w:rPr>
                <w:rFonts w:eastAsia="宋体" w:cs="Times New Roman"/>
                <w:sz w:val="21"/>
                <w:szCs w:val="21"/>
              </w:rPr>
              <w:t>6</w:t>
            </w:r>
          </w:p>
        </w:tc>
        <w:tc>
          <w:tcPr>
            <w:tcW w:w="517"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0.002</w:t>
            </w:r>
          </w:p>
        </w:tc>
        <w:tc>
          <w:tcPr>
            <w:tcW w:w="90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2.0</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93.3</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95.0</w:t>
            </w:r>
          </w:p>
        </w:tc>
        <w:tc>
          <w:tcPr>
            <w:tcW w:w="478"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97.5</w:t>
            </w:r>
          </w:p>
        </w:tc>
        <w:tc>
          <w:tcPr>
            <w:tcW w:w="89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3.1</w:t>
            </w:r>
          </w:p>
        </w:tc>
        <w:tc>
          <w:tcPr>
            <w:tcW w:w="4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93.3</w:t>
            </w:r>
          </w:p>
        </w:tc>
        <w:tc>
          <w:tcPr>
            <w:tcW w:w="439"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96.7</w:t>
            </w:r>
          </w:p>
        </w:tc>
        <w:tc>
          <w:tcPr>
            <w:tcW w:w="47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99.2</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742"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7</w:t>
            </w:r>
          </w:p>
        </w:tc>
        <w:tc>
          <w:tcPr>
            <w:tcW w:w="517"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0.002</w:t>
            </w:r>
          </w:p>
        </w:tc>
        <w:tc>
          <w:tcPr>
            <w:tcW w:w="90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2.0</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91.7</w:t>
            </w:r>
          </w:p>
        </w:tc>
        <w:tc>
          <w:tcPr>
            <w:tcW w:w="44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94.6</w:t>
            </w:r>
          </w:p>
        </w:tc>
        <w:tc>
          <w:tcPr>
            <w:tcW w:w="478"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99.4</w:t>
            </w:r>
          </w:p>
        </w:tc>
        <w:tc>
          <w:tcPr>
            <w:tcW w:w="890" w:type="dxa"/>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4.4</w:t>
            </w:r>
          </w:p>
        </w:tc>
        <w:tc>
          <w:tcPr>
            <w:tcW w:w="450"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93.3</w:t>
            </w:r>
          </w:p>
        </w:tc>
        <w:tc>
          <w:tcPr>
            <w:tcW w:w="439"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95.4</w:t>
            </w:r>
          </w:p>
        </w:tc>
        <w:tc>
          <w:tcPr>
            <w:tcW w:w="474" w:type="pct"/>
            <w:tcBorders>
              <w:tl2br w:val="nil"/>
              <w:tr2bl w:val="nil"/>
            </w:tcBorders>
            <w:vAlign w:val="center"/>
          </w:tcPr>
          <w:p>
            <w:pPr>
              <w:ind w:firstLine="0" w:firstLineChars="0"/>
              <w:jc w:val="center"/>
              <w:rPr>
                <w:rFonts w:eastAsia="宋体" w:cs="Times New Roman"/>
                <w:sz w:val="21"/>
                <w:szCs w:val="21"/>
              </w:rPr>
            </w:pPr>
            <w:r>
              <w:rPr>
                <w:rFonts w:hint="eastAsia" w:eastAsia="宋体" w:cs="Times New Roman"/>
                <w:sz w:val="21"/>
                <w:szCs w:val="21"/>
              </w:rPr>
              <w:t>96.7</w:t>
            </w:r>
          </w:p>
        </w:tc>
      </w:tr>
    </w:tbl>
    <w:p>
      <w:pPr>
        <w:ind w:firstLine="0" w:firstLineChars="0"/>
      </w:pPr>
    </w:p>
    <w:p>
      <w:pPr>
        <w:tabs>
          <w:tab w:val="left" w:pos="636"/>
        </w:tabs>
        <w:ind w:firstLine="0" w:firstLineChars="0"/>
        <w:rPr>
          <w:rFonts w:ascii="黑体" w:hAnsi="黑体" w:eastAsia="黑体" w:cs="黑体"/>
          <w:sz w:val="28"/>
          <w:szCs w:val="28"/>
        </w:rPr>
      </w:pPr>
      <w:r>
        <w:rPr>
          <w:rFonts w:hint="eastAsia" w:ascii="黑体" w:hAnsi="黑体" w:eastAsia="黑体" w:cs="黑体"/>
          <w:sz w:val="28"/>
          <w:szCs w:val="28"/>
        </w:rPr>
        <w:t>四、标准实施建议</w:t>
      </w:r>
    </w:p>
    <w:p>
      <w:pPr>
        <w:tabs>
          <w:tab w:val="left" w:pos="636"/>
        </w:tabs>
        <w:ind w:firstLine="480"/>
        <w:rPr>
          <w:rFonts w:cs="Times New Roman"/>
          <w:szCs w:val="24"/>
        </w:rPr>
      </w:pPr>
      <w:r>
        <w:rPr>
          <w:rFonts w:cs="Times New Roman"/>
          <w:szCs w:val="24"/>
        </w:rPr>
        <w:t>希望本标准审批通过后，尽快作为团体标准发布、实施，并进行相应的宣贯培训工作，推动标准的快速推广。</w:t>
      </w:r>
    </w:p>
    <w:p>
      <w:pPr>
        <w:tabs>
          <w:tab w:val="left" w:pos="636"/>
        </w:tabs>
        <w:ind w:firstLine="480"/>
        <w:rPr>
          <w:rFonts w:cs="Times New Roman"/>
          <w:szCs w:val="24"/>
        </w:rPr>
      </w:pPr>
    </w:p>
    <w:p>
      <w:pPr>
        <w:tabs>
          <w:tab w:val="left" w:pos="636"/>
        </w:tabs>
        <w:ind w:firstLine="0" w:firstLineChars="0"/>
        <w:rPr>
          <w:rFonts w:ascii="黑体" w:hAnsi="黑体" w:eastAsia="黑体" w:cs="黑体"/>
          <w:sz w:val="28"/>
          <w:szCs w:val="28"/>
        </w:rPr>
      </w:pPr>
      <w:r>
        <w:rPr>
          <w:rFonts w:hint="eastAsia" w:ascii="黑体" w:hAnsi="黑体" w:eastAsia="黑体" w:cs="黑体"/>
          <w:sz w:val="28"/>
          <w:szCs w:val="28"/>
        </w:rPr>
        <w:t>五、</w:t>
      </w:r>
      <w:r>
        <w:rPr>
          <w:rFonts w:ascii="黑体" w:hAnsi="黑体" w:eastAsia="黑体" w:cs="黑体"/>
          <w:sz w:val="28"/>
          <w:szCs w:val="28"/>
        </w:rPr>
        <w:t>标准知识产权说明</w:t>
      </w:r>
    </w:p>
    <w:p>
      <w:pPr>
        <w:tabs>
          <w:tab w:val="left" w:pos="636"/>
        </w:tabs>
        <w:ind w:firstLine="480"/>
        <w:rPr>
          <w:rFonts w:cs="Times New Roman"/>
          <w:szCs w:val="24"/>
        </w:rPr>
      </w:pPr>
      <w:r>
        <w:rPr>
          <w:rFonts w:cs="Times New Roman"/>
          <w:szCs w:val="24"/>
        </w:rPr>
        <w:t>无</w:t>
      </w:r>
      <w:r>
        <w:rPr>
          <w:rFonts w:hint="eastAsia" w:cs="Times New Roman"/>
          <w:szCs w:val="24"/>
        </w:rPr>
        <w:t>。</w:t>
      </w:r>
    </w:p>
    <w:p>
      <w:pPr>
        <w:tabs>
          <w:tab w:val="left" w:pos="636"/>
        </w:tabs>
        <w:ind w:firstLine="480"/>
        <w:rPr>
          <w:rFonts w:cs="Times New Roman"/>
          <w:szCs w:val="24"/>
        </w:rPr>
      </w:pPr>
    </w:p>
    <w:p>
      <w:pPr>
        <w:tabs>
          <w:tab w:val="left" w:pos="636"/>
        </w:tabs>
        <w:ind w:firstLine="0" w:firstLineChars="0"/>
        <w:rPr>
          <w:rFonts w:ascii="黑体" w:hAnsi="黑体" w:eastAsia="黑体" w:cs="黑体"/>
          <w:sz w:val="28"/>
          <w:szCs w:val="28"/>
        </w:rPr>
      </w:pPr>
      <w:r>
        <w:rPr>
          <w:rFonts w:hint="eastAsia" w:ascii="黑体" w:hAnsi="黑体" w:eastAsia="黑体" w:cs="黑体"/>
          <w:sz w:val="28"/>
          <w:szCs w:val="28"/>
        </w:rPr>
        <w:t>六、</w:t>
      </w:r>
      <w:r>
        <w:rPr>
          <w:rFonts w:ascii="黑体" w:hAnsi="黑体" w:eastAsia="黑体" w:cs="黑体"/>
          <w:sz w:val="28"/>
          <w:szCs w:val="28"/>
        </w:rPr>
        <w:t>重大意见分歧处理</w:t>
      </w:r>
    </w:p>
    <w:p>
      <w:pPr>
        <w:tabs>
          <w:tab w:val="left" w:pos="636"/>
        </w:tabs>
        <w:ind w:firstLine="480"/>
        <w:rPr>
          <w:rFonts w:cs="Times New Roman"/>
          <w:szCs w:val="24"/>
        </w:rPr>
      </w:pPr>
      <w:r>
        <w:rPr>
          <w:rFonts w:cs="Times New Roman"/>
          <w:szCs w:val="24"/>
        </w:rPr>
        <w:t>无</w:t>
      </w:r>
      <w:r>
        <w:rPr>
          <w:rFonts w:hint="eastAsia" w:cs="Times New Roman"/>
          <w:szCs w:val="24"/>
        </w:rPr>
        <w:t>。</w:t>
      </w:r>
    </w:p>
    <w:p>
      <w:pPr>
        <w:tabs>
          <w:tab w:val="left" w:pos="636"/>
        </w:tabs>
        <w:ind w:firstLine="480"/>
        <w:rPr>
          <w:rFonts w:cs="Times New Roman"/>
          <w:szCs w:val="24"/>
        </w:rPr>
      </w:pPr>
    </w:p>
    <w:p>
      <w:pPr>
        <w:tabs>
          <w:tab w:val="left" w:pos="636"/>
        </w:tabs>
        <w:ind w:firstLine="0" w:firstLineChars="0"/>
        <w:rPr>
          <w:rFonts w:ascii="黑体" w:hAnsi="黑体" w:eastAsia="黑体" w:cs="黑体"/>
          <w:sz w:val="28"/>
          <w:szCs w:val="28"/>
        </w:rPr>
      </w:pPr>
      <w:r>
        <w:rPr>
          <w:rFonts w:hint="eastAsia" w:ascii="黑体" w:hAnsi="黑体" w:eastAsia="黑体" w:cs="黑体"/>
          <w:sz w:val="28"/>
          <w:szCs w:val="28"/>
        </w:rPr>
        <w:t>七、</w:t>
      </w:r>
      <w:r>
        <w:rPr>
          <w:rFonts w:ascii="黑体" w:hAnsi="黑体" w:eastAsia="黑体" w:cs="黑体"/>
          <w:sz w:val="28"/>
          <w:szCs w:val="28"/>
        </w:rPr>
        <w:t>其他应予说明的事项</w:t>
      </w:r>
    </w:p>
    <w:p>
      <w:pPr>
        <w:tabs>
          <w:tab w:val="left" w:pos="636"/>
        </w:tabs>
        <w:ind w:firstLine="480"/>
        <w:rPr>
          <w:rFonts w:cs="Times New Roman"/>
          <w:szCs w:val="24"/>
        </w:rPr>
      </w:pPr>
      <w:r>
        <w:rPr>
          <w:rFonts w:cs="Times New Roman"/>
          <w:szCs w:val="24"/>
        </w:rPr>
        <w:t>无</w:t>
      </w:r>
      <w:r>
        <w:rPr>
          <w:rFonts w:hint="eastAsia" w:cs="Times New Roman"/>
          <w:szCs w:val="24"/>
        </w:rPr>
        <w:t>。</w:t>
      </w:r>
    </w:p>
    <w:p>
      <w:pPr>
        <w:tabs>
          <w:tab w:val="left" w:pos="636"/>
        </w:tabs>
        <w:ind w:firstLine="480"/>
        <w:rPr>
          <w:rFonts w:cs="Times New Roman"/>
          <w:szCs w:val="24"/>
        </w:rPr>
      </w:pPr>
    </w:p>
    <w:p>
      <w:pPr>
        <w:tabs>
          <w:tab w:val="left" w:pos="636"/>
        </w:tabs>
        <w:ind w:firstLine="0" w:firstLineChars="0"/>
        <w:rPr>
          <w:rFonts w:ascii="黑体" w:hAnsi="黑体" w:eastAsia="黑体" w:cs="黑体"/>
          <w:sz w:val="28"/>
          <w:szCs w:val="28"/>
        </w:rPr>
      </w:pPr>
      <w:r>
        <w:rPr>
          <w:rFonts w:hint="eastAsia" w:ascii="黑体" w:hAnsi="黑体" w:eastAsia="黑体" w:cs="黑体"/>
          <w:sz w:val="28"/>
          <w:szCs w:val="28"/>
        </w:rPr>
        <w:t>八、</w:t>
      </w:r>
      <w:r>
        <w:rPr>
          <w:rFonts w:ascii="黑体" w:hAnsi="黑体" w:eastAsia="黑体" w:cs="黑体"/>
          <w:sz w:val="28"/>
          <w:szCs w:val="28"/>
        </w:rPr>
        <w:t>与有关的现行法律、法规和强制性国家标准的关系</w:t>
      </w:r>
    </w:p>
    <w:p>
      <w:pPr>
        <w:ind w:firstLine="480"/>
        <w:jc w:val="left"/>
        <w:rPr>
          <w:rFonts w:cs="Times New Roman"/>
          <w:szCs w:val="24"/>
        </w:rPr>
      </w:pPr>
      <w:r>
        <w:rPr>
          <w:rFonts w:cs="Times New Roman"/>
          <w:szCs w:val="24"/>
        </w:rPr>
        <w:t>本标准所涉及的引用标准均为本行业现行有效的国家标准及行业标准。与相关法律、法规、规章及相关标准协调一致，没有冲突。</w:t>
      </w:r>
    </w:p>
    <w:p>
      <w:pPr>
        <w:tabs>
          <w:tab w:val="left" w:pos="636"/>
        </w:tabs>
        <w:ind w:firstLine="0" w:firstLineChars="0"/>
        <w:rPr>
          <w:rFonts w:ascii="黑体" w:hAnsi="黑体" w:eastAsia="黑体" w:cs="黑体"/>
          <w:sz w:val="28"/>
          <w:szCs w:val="28"/>
        </w:rPr>
      </w:pPr>
      <w:r>
        <w:rPr>
          <w:rFonts w:hint="eastAsia" w:ascii="黑体" w:hAnsi="黑体" w:eastAsia="黑体" w:cs="黑体"/>
          <w:sz w:val="28"/>
          <w:szCs w:val="28"/>
        </w:rPr>
        <w:t>九、参考文献</w:t>
      </w:r>
    </w:p>
    <w:p>
      <w:pPr>
        <w:numPr>
          <w:ilvl w:val="0"/>
          <w:numId w:val="8"/>
        </w:numPr>
        <w:ind w:firstLine="0" w:firstLineChars="0"/>
        <w:rPr>
          <w:rFonts w:cs="Times New Roman"/>
          <w:szCs w:val="24"/>
        </w:rPr>
      </w:pPr>
      <w:r>
        <w:rPr>
          <w:rFonts w:cs="Times New Roman"/>
          <w:szCs w:val="24"/>
        </w:rPr>
        <w:t>HJ 168—20</w:t>
      </w:r>
      <w:r>
        <w:rPr>
          <w:rFonts w:hint="eastAsia" w:cs="Times New Roman"/>
          <w:szCs w:val="24"/>
        </w:rPr>
        <w:t>2</w:t>
      </w:r>
      <w:r>
        <w:rPr>
          <w:rFonts w:cs="Times New Roman"/>
          <w:szCs w:val="24"/>
        </w:rPr>
        <w:t>0,环境监测 分析方法标准制修订技术导则[S].</w:t>
      </w:r>
    </w:p>
    <w:p>
      <w:pPr>
        <w:numPr>
          <w:ilvl w:val="0"/>
          <w:numId w:val="8"/>
        </w:numPr>
        <w:ind w:firstLine="0" w:firstLineChars="0"/>
        <w:rPr>
          <w:rFonts w:cs="Times New Roman"/>
          <w:szCs w:val="24"/>
        </w:rPr>
      </w:pPr>
      <w:r>
        <w:rPr>
          <w:rFonts w:cs="Times New Roman"/>
          <w:color w:val="000000"/>
          <w:szCs w:val="24"/>
        </w:rPr>
        <w:t>GB/T 210.</w:t>
      </w:r>
      <w:r>
        <w:rPr>
          <w:rFonts w:cs="Times New Roman"/>
          <w:szCs w:val="24"/>
        </w:rPr>
        <w:t>2,工业碳酸钠及其试验方法第2部分:工业碳酸钠试验方法[S].</w:t>
      </w:r>
    </w:p>
    <w:p>
      <w:pPr>
        <w:numPr>
          <w:ilvl w:val="0"/>
          <w:numId w:val="8"/>
        </w:numPr>
        <w:ind w:firstLine="0" w:firstLineChars="0"/>
        <w:rPr>
          <w:rFonts w:cs="Times New Roman"/>
          <w:szCs w:val="24"/>
        </w:rPr>
      </w:pPr>
      <w:r>
        <w:rPr>
          <w:rFonts w:cs="Times New Roman"/>
          <w:szCs w:val="24"/>
        </w:rPr>
        <w:t>DL/T 502.4,火力发电厂水汽分析方法 第4部分:氯</w:t>
      </w:r>
      <w:r>
        <w:rPr>
          <w:rFonts w:cs="Times New Roman"/>
          <w:color w:val="000000"/>
          <w:szCs w:val="24"/>
        </w:rPr>
        <w:t>化物的测定(电极法)</w:t>
      </w:r>
      <w:r>
        <w:rPr>
          <w:rFonts w:cs="Times New Roman"/>
          <w:szCs w:val="24"/>
        </w:rPr>
        <w:t>[S].</w:t>
      </w:r>
    </w:p>
    <w:p>
      <w:pPr>
        <w:numPr>
          <w:ilvl w:val="0"/>
          <w:numId w:val="8"/>
        </w:numPr>
        <w:ind w:firstLine="0" w:firstLineChars="0"/>
        <w:rPr>
          <w:rFonts w:cs="Times New Roman"/>
          <w:szCs w:val="24"/>
        </w:rPr>
      </w:pPr>
      <w:r>
        <w:rPr>
          <w:rFonts w:cs="Times New Roman"/>
          <w:szCs w:val="24"/>
        </w:rPr>
        <w:t>GB 7484,水质 氟化物的测定 离子选择电极法[S].</w:t>
      </w:r>
    </w:p>
    <w:p>
      <w:pPr>
        <w:numPr>
          <w:ilvl w:val="0"/>
          <w:numId w:val="8"/>
        </w:numPr>
        <w:ind w:firstLine="0" w:firstLineChars="0"/>
        <w:rPr>
          <w:rFonts w:cs="Times New Roman"/>
          <w:color w:val="333333"/>
          <w:szCs w:val="24"/>
        </w:rPr>
      </w:pPr>
      <w:r>
        <w:rPr>
          <w:rFonts w:cs="Times New Roman"/>
          <w:szCs w:val="24"/>
        </w:rPr>
        <w:t>姜威,龚丽,彭桦等.电位滴定法测定聚丙烯酰胺中氯化物.云南化工[J],2021,48(11)：47～49.</w:t>
      </w:r>
    </w:p>
    <w:p>
      <w:pPr>
        <w:numPr>
          <w:ilvl w:val="0"/>
          <w:numId w:val="8"/>
        </w:numPr>
        <w:ind w:firstLine="0" w:firstLineChars="0"/>
        <w:rPr>
          <w:rFonts w:cs="Times New Roman"/>
          <w:color w:val="333333"/>
          <w:szCs w:val="24"/>
        </w:rPr>
      </w:pPr>
      <w:r>
        <w:rPr>
          <w:rFonts w:cs="Times New Roman"/>
          <w:szCs w:val="24"/>
        </w:rPr>
        <w:t>高盼盼,姜海涛等.离子选择电极法测定铝电解烟气中氯化物的不确定度评估.有色冶金节能[J], 2017,33(05).</w:t>
      </w:r>
    </w:p>
    <w:p>
      <w:pPr>
        <w:numPr>
          <w:ilvl w:val="0"/>
          <w:numId w:val="8"/>
        </w:numPr>
        <w:ind w:firstLine="0" w:firstLineChars="0"/>
        <w:rPr>
          <w:rFonts w:cs="Times New Roman"/>
          <w:szCs w:val="24"/>
        </w:rPr>
      </w:pPr>
      <w:r>
        <w:rPr>
          <w:rFonts w:cs="Times New Roman"/>
          <w:szCs w:val="24"/>
        </w:rPr>
        <w:t>倪莉,方茂等.重度脂浊对间接离子选择电极法测定血清钠钾氯的干扰.温州医科大学学报[J],2019,49(11).</w:t>
      </w:r>
    </w:p>
    <w:p>
      <w:pPr>
        <w:numPr>
          <w:ilvl w:val="0"/>
          <w:numId w:val="8"/>
        </w:numPr>
        <w:ind w:firstLine="0" w:firstLineChars="0"/>
        <w:rPr>
          <w:rFonts w:cs="Times New Roman"/>
          <w:szCs w:val="24"/>
        </w:rPr>
      </w:pPr>
      <w:r>
        <w:rPr>
          <w:rFonts w:cs="Times New Roman"/>
          <w:szCs w:val="24"/>
        </w:rPr>
        <w:t>曾艳.离子选择电极法联合测定重铀酸盐中氟和氯.广东化工[J],2019,46(03).</w:t>
      </w:r>
    </w:p>
    <w:p>
      <w:pPr>
        <w:numPr>
          <w:ilvl w:val="0"/>
          <w:numId w:val="8"/>
        </w:numPr>
        <w:ind w:firstLine="0" w:firstLineChars="0"/>
        <w:rPr>
          <w:rFonts w:cs="Times New Roman"/>
          <w:szCs w:val="24"/>
        </w:rPr>
      </w:pPr>
      <w:r>
        <w:rPr>
          <w:rFonts w:cs="Times New Roman"/>
          <w:szCs w:val="24"/>
        </w:rPr>
        <w:t>王连军.离子选择电极标准加入法测定磷酸中的氯离子.磷肥与复肥[J],2021,36(08).</w:t>
      </w:r>
    </w:p>
    <w:p>
      <w:pPr>
        <w:numPr>
          <w:ilvl w:val="0"/>
          <w:numId w:val="8"/>
        </w:numPr>
        <w:ind w:firstLine="0" w:firstLineChars="0"/>
        <w:rPr>
          <w:rFonts w:cs="Times New Roman"/>
          <w:szCs w:val="24"/>
        </w:rPr>
      </w:pPr>
      <w:r>
        <w:rPr>
          <w:rFonts w:cs="Times New Roman"/>
          <w:szCs w:val="24"/>
        </w:rPr>
        <w:t>李擎,颜晓华等.氯离子选择电极法测碳酸钴中Cl</w:t>
      </w:r>
      <w:r>
        <w:rPr>
          <w:rFonts w:cs="Times New Roman"/>
          <w:szCs w:val="24"/>
          <w:vertAlign w:val="superscript"/>
        </w:rPr>
        <w:t>-</w:t>
      </w:r>
      <w:r>
        <w:rPr>
          <w:rFonts w:cs="Times New Roman"/>
          <w:szCs w:val="24"/>
        </w:rPr>
        <w:t>含量.硬质合金[J],2020,37(05).</w:t>
      </w:r>
    </w:p>
    <w:p>
      <w:pPr>
        <w:numPr>
          <w:ilvl w:val="0"/>
          <w:numId w:val="8"/>
        </w:numPr>
        <w:ind w:firstLine="0" w:firstLineChars="0"/>
      </w:pPr>
      <w:r>
        <w:rPr>
          <w:rFonts w:cs="Times New Roman"/>
          <w:szCs w:val="24"/>
        </w:rPr>
        <w:t>刘瑞雪.纯碱国标的修订及现国标(GB210—92).纯碱工业[J],1993(06):17-22.</w:t>
      </w:r>
    </w:p>
    <w:sectPr>
      <w:footerReference r:id="rId5" w:type="default"/>
      <w:pgSz w:w="11906" w:h="16838"/>
      <w:pgMar w:top="1440" w:right="1800" w:bottom="1440" w:left="1800" w:header="851" w:footer="669"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swiss"/>
    <w:pitch w:val="default"/>
    <w:sig w:usb0="FFFFFFFF" w:usb1="E9FFFFFF" w:usb2="0000003F" w:usb3="00000000" w:csb0="603F01FF" w:csb1="FFFF0000"/>
  </w:font>
  <w:font w:name="方正黑体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8152"/>
    </w:sdtPr>
    <w:sdtContent>
      <w:sdt>
        <w:sdtPr>
          <w:id w:val="98381352"/>
        </w:sdtPr>
        <w:sdtContent>
          <w:p>
            <w:pPr>
              <w:pStyle w:val="9"/>
              <w:ind w:firstLine="360"/>
              <w:jc w:val="center"/>
            </w:pPr>
            <w:r>
              <w:rPr>
                <w:lang w:val="zh-CN"/>
              </w:rPr>
              <w:t xml:space="preserve"> </w:t>
            </w:r>
            <w:r>
              <w:rPr>
                <w:b/>
              </w:rPr>
              <w:fldChar w:fldCharType="begin"/>
            </w:r>
            <w:r>
              <w:rPr>
                <w:b/>
              </w:rPr>
              <w:instrText xml:space="preserve">PAGE</w:instrText>
            </w:r>
            <w:r>
              <w:rPr>
                <w:b/>
              </w:rPr>
              <w:fldChar w:fldCharType="separate"/>
            </w:r>
            <w:r>
              <w:rPr>
                <w:b/>
              </w:rPr>
              <w:t>11</w:t>
            </w:r>
            <w:r>
              <w:rPr>
                <w:b/>
              </w:rPr>
              <w:fldChar w:fldCharType="end"/>
            </w:r>
            <w:r>
              <w:rPr>
                <w:lang w:val="zh-CN"/>
              </w:rPr>
              <w:t xml:space="preserve"> / </w:t>
            </w:r>
            <w:r>
              <w:rPr>
                <w:b/>
              </w:rPr>
              <w:fldChar w:fldCharType="begin"/>
            </w:r>
            <w:r>
              <w:rPr>
                <w:b/>
              </w:rPr>
              <w:instrText xml:space="preserve">NUMPAGES</w:instrText>
            </w:r>
            <w:r>
              <w:rPr>
                <w:b/>
              </w:rPr>
              <w:fldChar w:fldCharType="separate"/>
            </w:r>
            <w:r>
              <w:rPr>
                <w:b/>
              </w:rPr>
              <w:t>13</w:t>
            </w:r>
            <w:r>
              <w:rPr>
                <w:b/>
              </w:rPr>
              <w:fldChar w:fldCharType="end"/>
            </w:r>
          </w:p>
        </w:sdtContent>
      </w:sdt>
    </w:sdtContent>
  </w:sdt>
  <w:p>
    <w:pPr>
      <w:pStyle w:val="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56C286"/>
    <w:multiLevelType w:val="singleLevel"/>
    <w:tmpl w:val="9456C286"/>
    <w:lvl w:ilvl="0" w:tentative="0">
      <w:start w:val="1"/>
      <w:numFmt w:val="chineseCounting"/>
      <w:pStyle w:val="42"/>
      <w:suff w:val="nothing"/>
      <w:lvlText w:val="%1、"/>
      <w:lvlJc w:val="left"/>
      <w:pPr>
        <w:ind w:left="0" w:firstLine="420"/>
      </w:pPr>
      <w:rPr>
        <w:rFonts w:hint="eastAsia"/>
      </w:rPr>
    </w:lvl>
  </w:abstractNum>
  <w:abstractNum w:abstractNumId="1">
    <w:nsid w:val="C5C015E0"/>
    <w:multiLevelType w:val="multilevel"/>
    <w:tmpl w:val="C5C015E0"/>
    <w:lvl w:ilvl="0" w:tentative="0">
      <w:start w:val="1"/>
      <w:numFmt w:val="decimal"/>
      <w:pStyle w:val="2"/>
      <w:suff w:val="space"/>
      <w:lvlText w:val="%1、"/>
      <w:lvlJc w:val="left"/>
      <w:pPr>
        <w:tabs>
          <w:tab w:val="left" w:pos="420"/>
        </w:tabs>
        <w:ind w:left="425" w:hanging="425"/>
      </w:pPr>
      <w:rPr>
        <w:rFonts w:hint="default" w:ascii="Times New Roman" w:hAnsi="Times New Roman" w:eastAsia="宋体" w:cs="Times New Roman"/>
        <w:b/>
        <w:bCs/>
        <w:sz w:val="20"/>
      </w:rPr>
    </w:lvl>
    <w:lvl w:ilvl="1" w:tentative="0">
      <w:start w:val="1"/>
      <w:numFmt w:val="decimal"/>
      <w:pStyle w:val="3"/>
      <w:suff w:val="space"/>
      <w:lvlText w:val="%1.%2、"/>
      <w:lvlJc w:val="left"/>
      <w:pPr>
        <w:tabs>
          <w:tab w:val="left" w:pos="0"/>
        </w:tabs>
        <w:ind w:left="0" w:firstLine="0"/>
      </w:pPr>
      <w:rPr>
        <w:rFonts w:hint="default" w:ascii="宋体" w:hAnsi="宋体" w:eastAsia="宋体" w:cs="宋体"/>
        <w:sz w:val="28"/>
      </w:rPr>
    </w:lvl>
    <w:lvl w:ilvl="2" w:tentative="0">
      <w:start w:val="1"/>
      <w:numFmt w:val="decimal"/>
      <w:suff w:val="space"/>
      <w:lvlText w:val="%1.%2.%3、"/>
      <w:lvlJc w:val="left"/>
      <w:pPr>
        <w:tabs>
          <w:tab w:val="left" w:pos="420"/>
        </w:tabs>
        <w:ind w:left="0" w:firstLine="0"/>
      </w:pPr>
      <w:rPr>
        <w:rFonts w:hint="default" w:ascii="宋体" w:hAnsi="宋体" w:eastAsia="宋体" w:cs="宋体"/>
        <w:sz w:val="28"/>
      </w:rPr>
    </w:lvl>
    <w:lvl w:ilvl="3" w:tentative="0">
      <w:start w:val="1"/>
      <w:numFmt w:val="decimal"/>
      <w:suff w:val="space"/>
      <w:lvlText w:val="%1.%2.%3.%4"/>
      <w:lvlJc w:val="left"/>
      <w:pPr>
        <w:tabs>
          <w:tab w:val="left" w:pos="420"/>
        </w:tabs>
        <w:ind w:left="0" w:firstLine="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D78293A4"/>
    <w:multiLevelType w:val="singleLevel"/>
    <w:tmpl w:val="D78293A4"/>
    <w:lvl w:ilvl="0" w:tentative="0">
      <w:start w:val="1"/>
      <w:numFmt w:val="decimal"/>
      <w:suff w:val="space"/>
      <w:lvlText w:val="[%1]"/>
      <w:lvlJc w:val="left"/>
    </w:lvl>
  </w:abstractNum>
  <w:abstractNum w:abstractNumId="3">
    <w:nsid w:val="F787FA39"/>
    <w:multiLevelType w:val="multilevel"/>
    <w:tmpl w:val="F787FA39"/>
    <w:lvl w:ilvl="0" w:tentative="0">
      <w:start w:val="1"/>
      <w:numFmt w:val="decimal"/>
      <w:pStyle w:val="28"/>
      <w:suff w:val="space"/>
      <w:lvlText w:val="%1、"/>
      <w:lvlJc w:val="left"/>
      <w:pPr>
        <w:tabs>
          <w:tab w:val="left" w:pos="0"/>
        </w:tabs>
        <w:ind w:left="425" w:hanging="425"/>
      </w:pPr>
      <w:rPr>
        <w:rFonts w:hint="default" w:ascii="Times New Roman" w:hAnsi="Times New Roman" w:eastAsia="宋体" w:cs="Times New Roman"/>
        <w:b/>
        <w:bCs/>
        <w:sz w:val="24"/>
        <w:szCs w:val="24"/>
      </w:rPr>
    </w:lvl>
    <w:lvl w:ilvl="1" w:tentative="0">
      <w:start w:val="1"/>
      <w:numFmt w:val="decimal"/>
      <w:pStyle w:val="33"/>
      <w:suff w:val="space"/>
      <w:lvlText w:val="%1.%2"/>
      <w:lvlJc w:val="left"/>
      <w:pPr>
        <w:tabs>
          <w:tab w:val="left" w:pos="0"/>
        </w:tabs>
        <w:ind w:left="0" w:firstLine="0"/>
      </w:pPr>
      <w:rPr>
        <w:rFonts w:hint="default" w:ascii="宋体" w:hAnsi="宋体" w:eastAsia="宋体" w:cs="宋体"/>
        <w:b/>
        <w:bCs/>
        <w:sz w:val="20"/>
      </w:rPr>
    </w:lvl>
    <w:lvl w:ilvl="2" w:tentative="0">
      <w:start w:val="1"/>
      <w:numFmt w:val="decimal"/>
      <w:pStyle w:val="37"/>
      <w:suff w:val="space"/>
      <w:lvlText w:val="%1.%2.%3"/>
      <w:lvlJc w:val="left"/>
      <w:pPr>
        <w:tabs>
          <w:tab w:val="left" w:pos="0"/>
        </w:tabs>
        <w:ind w:left="0" w:firstLine="0"/>
      </w:pPr>
      <w:rPr>
        <w:rFonts w:hint="default" w:ascii="宋体" w:hAnsi="宋体" w:eastAsia="宋体" w:cs="宋体"/>
        <w:b/>
        <w:bCs/>
        <w:sz w:val="20"/>
      </w:rPr>
    </w:lvl>
    <w:lvl w:ilvl="3" w:tentative="0">
      <w:start w:val="1"/>
      <w:numFmt w:val="decimal"/>
      <w:pStyle w:val="5"/>
      <w:suff w:val="space"/>
      <w:lvlText w:val="%1.%2.%3.%4"/>
      <w:lvlJc w:val="left"/>
      <w:pPr>
        <w:tabs>
          <w:tab w:val="left" w:pos="420"/>
        </w:tabs>
        <w:ind w:left="0" w:firstLine="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1FA7FB35"/>
    <w:multiLevelType w:val="multilevel"/>
    <w:tmpl w:val="1FA7FB35"/>
    <w:lvl w:ilvl="0" w:tentative="0">
      <w:start w:val="1"/>
      <w:numFmt w:val="decimal"/>
      <w:suff w:val="space"/>
      <w:lvlText w:val="%1、"/>
      <w:lvlJc w:val="left"/>
      <w:pPr>
        <w:tabs>
          <w:tab w:val="left" w:pos="0"/>
        </w:tabs>
        <w:ind w:left="425" w:hanging="425"/>
      </w:pPr>
      <w:rPr>
        <w:rFonts w:hint="default" w:ascii="Times New Roman" w:hAnsi="Times New Roman" w:eastAsia="宋体" w:cs="Times New Roman"/>
        <w:b/>
        <w:bCs/>
        <w:sz w:val="20"/>
      </w:rPr>
    </w:lvl>
    <w:lvl w:ilvl="1" w:tentative="0">
      <w:start w:val="1"/>
      <w:numFmt w:val="decimal"/>
      <w:suff w:val="space"/>
      <w:lvlText w:val="%1.%2、"/>
      <w:lvlJc w:val="left"/>
      <w:pPr>
        <w:tabs>
          <w:tab w:val="left" w:pos="0"/>
        </w:tabs>
        <w:ind w:left="0" w:firstLine="0"/>
      </w:pPr>
      <w:rPr>
        <w:rFonts w:hint="default" w:ascii="Times New Roman" w:hAnsi="Times New Roman" w:eastAsia="宋体" w:cs="Times New Roman"/>
        <w:b/>
        <w:bCs/>
        <w:sz w:val="20"/>
      </w:rPr>
    </w:lvl>
    <w:lvl w:ilvl="2" w:tentative="0">
      <w:start w:val="1"/>
      <w:numFmt w:val="decimal"/>
      <w:pStyle w:val="4"/>
      <w:suff w:val="space"/>
      <w:lvlText w:val="%1.%2.%3、"/>
      <w:lvlJc w:val="left"/>
      <w:pPr>
        <w:tabs>
          <w:tab w:val="left" w:pos="420"/>
        </w:tabs>
        <w:ind w:left="0" w:firstLine="0"/>
      </w:pPr>
      <w:rPr>
        <w:rFonts w:hint="default" w:ascii="宋体" w:hAnsi="宋体" w:eastAsia="宋体" w:cs="宋体"/>
        <w:sz w:val="28"/>
      </w:rPr>
    </w:lvl>
    <w:lvl w:ilvl="3" w:tentative="0">
      <w:start w:val="1"/>
      <w:numFmt w:val="decimal"/>
      <w:suff w:val="space"/>
      <w:lvlText w:val="%1.%2.%3.%4"/>
      <w:lvlJc w:val="left"/>
      <w:pPr>
        <w:tabs>
          <w:tab w:val="left" w:pos="420"/>
        </w:tabs>
        <w:ind w:left="0" w:firstLine="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1FC91163"/>
    <w:multiLevelType w:val="multilevel"/>
    <w:tmpl w:val="1FC91163"/>
    <w:lvl w:ilvl="0" w:tentative="0">
      <w:start w:val="1"/>
      <w:numFmt w:val="decimal"/>
      <w:pStyle w:val="48"/>
      <w:suff w:val="nothing"/>
      <w:lvlText w:val="%1　"/>
      <w:lvlJc w:val="left"/>
      <w:pPr>
        <w:ind w:left="426" w:firstLine="0"/>
      </w:pPr>
      <w:rPr>
        <w:rFonts w:hint="eastAsia" w:ascii="黑体" w:hAnsi="Times New Roman" w:eastAsia="黑体"/>
        <w:b w:val="0"/>
        <w:i w:val="0"/>
        <w:sz w:val="21"/>
        <w:szCs w:val="21"/>
      </w:rPr>
    </w:lvl>
    <w:lvl w:ilvl="1" w:tentative="0">
      <w:start w:val="1"/>
      <w:numFmt w:val="decimal"/>
      <w:suff w:val="nothing"/>
      <w:lvlText w:val="%1.%2　"/>
      <w:lvlJc w:val="left"/>
      <w:pPr>
        <w:ind w:left="1702"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709"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336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911CDD9"/>
    <w:multiLevelType w:val="singleLevel"/>
    <w:tmpl w:val="2911CDD9"/>
    <w:lvl w:ilvl="0" w:tentative="0">
      <w:start w:val="2"/>
      <w:numFmt w:val="chineseCounting"/>
      <w:suff w:val="nothing"/>
      <w:lvlText w:val="%1、"/>
      <w:lvlJc w:val="left"/>
      <w:rPr>
        <w:rFonts w:hint="eastAsia"/>
        <w:sz w:val="28"/>
        <w:szCs w:val="28"/>
      </w:rPr>
    </w:lvl>
  </w:abstractNum>
  <w:abstractNum w:abstractNumId="7">
    <w:nsid w:val="48CD8704"/>
    <w:multiLevelType w:val="multilevel"/>
    <w:tmpl w:val="48CD8704"/>
    <w:lvl w:ilvl="0" w:tentative="0">
      <w:start w:val="1"/>
      <w:numFmt w:val="decimal"/>
      <w:lvlText w:val="%1、"/>
      <w:lvlJc w:val="left"/>
      <w:pPr>
        <w:tabs>
          <w:tab w:val="left" w:pos="420"/>
        </w:tabs>
        <w:ind w:left="360" w:hanging="360"/>
      </w:pPr>
      <w:rPr>
        <w:rFonts w:hint="default" w:ascii="宋体" w:hAnsi="宋体" w:eastAsia="宋体" w:cs="宋体"/>
      </w:rPr>
    </w:lvl>
    <w:lvl w:ilvl="1" w:tentative="0">
      <w:start w:val="1"/>
      <w:numFmt w:val="decimal"/>
      <w:suff w:val="space"/>
      <w:lvlText w:val="%1、%2"/>
      <w:lvlJc w:val="left"/>
      <w:pPr>
        <w:tabs>
          <w:tab w:val="left" w:pos="420"/>
        </w:tabs>
        <w:ind w:left="840" w:hanging="420"/>
      </w:pPr>
      <w:rPr>
        <w:rFonts w:hint="default" w:ascii="宋体" w:hAnsi="宋体" w:eastAsia="宋体" w:cs="宋体"/>
        <w:sz w:val="24"/>
      </w:rPr>
    </w:lvl>
    <w:lvl w:ilvl="2" w:tentative="0">
      <w:start w:val="1"/>
      <w:numFmt w:val="lowerRoman"/>
      <w:lvlText w:val="%3."/>
      <w:lvlJc w:val="right"/>
      <w:pPr>
        <w:tabs>
          <w:tab w:val="left" w:pos="420"/>
        </w:tabs>
        <w:ind w:left="1260" w:hanging="420"/>
      </w:pPr>
      <w:rPr>
        <w:rFonts w:hint="default" w:ascii="宋体" w:hAnsi="宋体" w:eastAsia="宋体" w:cs="宋体"/>
      </w:rPr>
    </w:lvl>
    <w:lvl w:ilvl="3" w:tentative="0">
      <w:start w:val="4"/>
      <w:numFmt w:val="decimal"/>
      <w:lvlRestart w:val="1"/>
      <w:pStyle w:val="40"/>
      <w:suff w:val="space"/>
      <w:lvlText w:val="%4.%1"/>
      <w:lvlJc w:val="left"/>
      <w:pPr>
        <w:tabs>
          <w:tab w:val="left" w:pos="420"/>
        </w:tabs>
        <w:ind w:left="0" w:firstLine="0"/>
      </w:pPr>
      <w:rPr>
        <w:rFonts w:hint="default" w:ascii="宋体" w:hAnsi="宋体" w:eastAsia="宋体" w:cs="宋体"/>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3"/>
  </w:num>
  <w:num w:numId="4">
    <w:abstractNumId w:val="7"/>
  </w:num>
  <w:num w:numId="5">
    <w:abstractNumId w:val="0"/>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ZWEyZjk4NmQ2YzhiNDAyZDNiMTI0ODM1ZWZmNDEifQ=="/>
  </w:docVars>
  <w:rsids>
    <w:rsidRoot w:val="00E841FF"/>
    <w:rsid w:val="000027CA"/>
    <w:rsid w:val="00023AB9"/>
    <w:rsid w:val="00032D3C"/>
    <w:rsid w:val="00043D0C"/>
    <w:rsid w:val="00053E22"/>
    <w:rsid w:val="00071208"/>
    <w:rsid w:val="0007477D"/>
    <w:rsid w:val="000907B1"/>
    <w:rsid w:val="0009718D"/>
    <w:rsid w:val="000A1165"/>
    <w:rsid w:val="000A1940"/>
    <w:rsid w:val="000B0130"/>
    <w:rsid w:val="000B4D27"/>
    <w:rsid w:val="000B5051"/>
    <w:rsid w:val="000C2584"/>
    <w:rsid w:val="000D3D24"/>
    <w:rsid w:val="000E009A"/>
    <w:rsid w:val="000F552A"/>
    <w:rsid w:val="000F6FEF"/>
    <w:rsid w:val="0010223A"/>
    <w:rsid w:val="00114DDC"/>
    <w:rsid w:val="00115249"/>
    <w:rsid w:val="001159CD"/>
    <w:rsid w:val="00123B4F"/>
    <w:rsid w:val="00130DEA"/>
    <w:rsid w:val="00130DEC"/>
    <w:rsid w:val="00140BE9"/>
    <w:rsid w:val="001421C9"/>
    <w:rsid w:val="00146019"/>
    <w:rsid w:val="00147A46"/>
    <w:rsid w:val="0016056B"/>
    <w:rsid w:val="00162DC6"/>
    <w:rsid w:val="001637F3"/>
    <w:rsid w:val="00171500"/>
    <w:rsid w:val="00183768"/>
    <w:rsid w:val="0018568D"/>
    <w:rsid w:val="00192DBE"/>
    <w:rsid w:val="001A4B2D"/>
    <w:rsid w:val="001B7615"/>
    <w:rsid w:val="001C152D"/>
    <w:rsid w:val="001C45C4"/>
    <w:rsid w:val="001C691E"/>
    <w:rsid w:val="001D5CE8"/>
    <w:rsid w:val="001E0CB9"/>
    <w:rsid w:val="001E6470"/>
    <w:rsid w:val="001F0C3D"/>
    <w:rsid w:val="001F125A"/>
    <w:rsid w:val="001F6FF5"/>
    <w:rsid w:val="001F78D8"/>
    <w:rsid w:val="00200D52"/>
    <w:rsid w:val="002117C8"/>
    <w:rsid w:val="00212F60"/>
    <w:rsid w:val="002239FC"/>
    <w:rsid w:val="00244D62"/>
    <w:rsid w:val="0024606B"/>
    <w:rsid w:val="00264AB5"/>
    <w:rsid w:val="00272E6B"/>
    <w:rsid w:val="0027696D"/>
    <w:rsid w:val="002821EA"/>
    <w:rsid w:val="002846BC"/>
    <w:rsid w:val="0028491F"/>
    <w:rsid w:val="002865A2"/>
    <w:rsid w:val="002B1324"/>
    <w:rsid w:val="002B55FF"/>
    <w:rsid w:val="002C1F2E"/>
    <w:rsid w:val="003005CB"/>
    <w:rsid w:val="00312B90"/>
    <w:rsid w:val="0031586D"/>
    <w:rsid w:val="003162BB"/>
    <w:rsid w:val="00327AA6"/>
    <w:rsid w:val="00327F0D"/>
    <w:rsid w:val="00330BAC"/>
    <w:rsid w:val="00333F66"/>
    <w:rsid w:val="003365C4"/>
    <w:rsid w:val="003466A8"/>
    <w:rsid w:val="00347428"/>
    <w:rsid w:val="00347E9F"/>
    <w:rsid w:val="00362883"/>
    <w:rsid w:val="0036586C"/>
    <w:rsid w:val="003664E0"/>
    <w:rsid w:val="0038093E"/>
    <w:rsid w:val="003850CC"/>
    <w:rsid w:val="00393823"/>
    <w:rsid w:val="003A5FA1"/>
    <w:rsid w:val="003B2BA1"/>
    <w:rsid w:val="003D0482"/>
    <w:rsid w:val="003D0DEE"/>
    <w:rsid w:val="003D6C58"/>
    <w:rsid w:val="003E176E"/>
    <w:rsid w:val="003E68B9"/>
    <w:rsid w:val="003F0033"/>
    <w:rsid w:val="003F3C06"/>
    <w:rsid w:val="003F6DDD"/>
    <w:rsid w:val="00400AD2"/>
    <w:rsid w:val="004149E4"/>
    <w:rsid w:val="00415558"/>
    <w:rsid w:val="0041589A"/>
    <w:rsid w:val="0042301B"/>
    <w:rsid w:val="0042651F"/>
    <w:rsid w:val="004277C9"/>
    <w:rsid w:val="0044631C"/>
    <w:rsid w:val="00456850"/>
    <w:rsid w:val="00465469"/>
    <w:rsid w:val="00467932"/>
    <w:rsid w:val="00471859"/>
    <w:rsid w:val="00472FBF"/>
    <w:rsid w:val="00473629"/>
    <w:rsid w:val="00480718"/>
    <w:rsid w:val="004812E2"/>
    <w:rsid w:val="00485C5C"/>
    <w:rsid w:val="00487E78"/>
    <w:rsid w:val="004B5B28"/>
    <w:rsid w:val="004C64A6"/>
    <w:rsid w:val="004C7576"/>
    <w:rsid w:val="004D5949"/>
    <w:rsid w:val="004D62AE"/>
    <w:rsid w:val="004D6541"/>
    <w:rsid w:val="004E3FD3"/>
    <w:rsid w:val="004E5654"/>
    <w:rsid w:val="0050386D"/>
    <w:rsid w:val="005246B7"/>
    <w:rsid w:val="00532984"/>
    <w:rsid w:val="00540C17"/>
    <w:rsid w:val="00540F8C"/>
    <w:rsid w:val="00570E40"/>
    <w:rsid w:val="00573119"/>
    <w:rsid w:val="00595FB0"/>
    <w:rsid w:val="005960B9"/>
    <w:rsid w:val="005A475D"/>
    <w:rsid w:val="005B1D2F"/>
    <w:rsid w:val="005C397A"/>
    <w:rsid w:val="005C6D10"/>
    <w:rsid w:val="005D0305"/>
    <w:rsid w:val="005D723A"/>
    <w:rsid w:val="005E7116"/>
    <w:rsid w:val="00607967"/>
    <w:rsid w:val="00607BD3"/>
    <w:rsid w:val="00611576"/>
    <w:rsid w:val="0061394A"/>
    <w:rsid w:val="00613F87"/>
    <w:rsid w:val="00614D82"/>
    <w:rsid w:val="00641E24"/>
    <w:rsid w:val="00653A79"/>
    <w:rsid w:val="006572E6"/>
    <w:rsid w:val="00664D64"/>
    <w:rsid w:val="00670F9E"/>
    <w:rsid w:val="00674326"/>
    <w:rsid w:val="006765A7"/>
    <w:rsid w:val="006766CE"/>
    <w:rsid w:val="00693289"/>
    <w:rsid w:val="006A460B"/>
    <w:rsid w:val="006A604E"/>
    <w:rsid w:val="006A6C7A"/>
    <w:rsid w:val="006A7673"/>
    <w:rsid w:val="006A78EA"/>
    <w:rsid w:val="006B19A4"/>
    <w:rsid w:val="006B5026"/>
    <w:rsid w:val="006B57D9"/>
    <w:rsid w:val="006C046C"/>
    <w:rsid w:val="006C368E"/>
    <w:rsid w:val="006D4814"/>
    <w:rsid w:val="006D5AA0"/>
    <w:rsid w:val="006D7A55"/>
    <w:rsid w:val="006E1840"/>
    <w:rsid w:val="006E3A56"/>
    <w:rsid w:val="006E47D9"/>
    <w:rsid w:val="006F3AFE"/>
    <w:rsid w:val="00704F2D"/>
    <w:rsid w:val="00710EC5"/>
    <w:rsid w:val="00714F74"/>
    <w:rsid w:val="00730151"/>
    <w:rsid w:val="007333F6"/>
    <w:rsid w:val="007362F3"/>
    <w:rsid w:val="00736F04"/>
    <w:rsid w:val="007378DE"/>
    <w:rsid w:val="00742F2B"/>
    <w:rsid w:val="007464C6"/>
    <w:rsid w:val="00747A74"/>
    <w:rsid w:val="007504EC"/>
    <w:rsid w:val="007536F4"/>
    <w:rsid w:val="00755BA8"/>
    <w:rsid w:val="007611FF"/>
    <w:rsid w:val="0076240A"/>
    <w:rsid w:val="00763C50"/>
    <w:rsid w:val="00771F5B"/>
    <w:rsid w:val="00773284"/>
    <w:rsid w:val="00774398"/>
    <w:rsid w:val="00782197"/>
    <w:rsid w:val="00784D05"/>
    <w:rsid w:val="00791D39"/>
    <w:rsid w:val="00793783"/>
    <w:rsid w:val="00793D84"/>
    <w:rsid w:val="007A5A37"/>
    <w:rsid w:val="007A5B4D"/>
    <w:rsid w:val="007B5AC7"/>
    <w:rsid w:val="007C2D51"/>
    <w:rsid w:val="007C76D9"/>
    <w:rsid w:val="007D2A81"/>
    <w:rsid w:val="007F148C"/>
    <w:rsid w:val="007F436D"/>
    <w:rsid w:val="007F61F8"/>
    <w:rsid w:val="00806D73"/>
    <w:rsid w:val="0081625A"/>
    <w:rsid w:val="00817A73"/>
    <w:rsid w:val="008234E6"/>
    <w:rsid w:val="00824316"/>
    <w:rsid w:val="008336AA"/>
    <w:rsid w:val="00842AF0"/>
    <w:rsid w:val="00843003"/>
    <w:rsid w:val="008444CD"/>
    <w:rsid w:val="0085312F"/>
    <w:rsid w:val="00856017"/>
    <w:rsid w:val="00856556"/>
    <w:rsid w:val="00856DF9"/>
    <w:rsid w:val="00874D16"/>
    <w:rsid w:val="00876BA5"/>
    <w:rsid w:val="008850A0"/>
    <w:rsid w:val="00897B40"/>
    <w:rsid w:val="008A7B91"/>
    <w:rsid w:val="008D0E38"/>
    <w:rsid w:val="008D2EEB"/>
    <w:rsid w:val="008D4A14"/>
    <w:rsid w:val="008F224C"/>
    <w:rsid w:val="00907F3C"/>
    <w:rsid w:val="009178B1"/>
    <w:rsid w:val="009219AA"/>
    <w:rsid w:val="0093686C"/>
    <w:rsid w:val="0094129A"/>
    <w:rsid w:val="0095129B"/>
    <w:rsid w:val="00951BB6"/>
    <w:rsid w:val="00953AFE"/>
    <w:rsid w:val="0095704B"/>
    <w:rsid w:val="009719B7"/>
    <w:rsid w:val="00972435"/>
    <w:rsid w:val="00976E1D"/>
    <w:rsid w:val="009837F1"/>
    <w:rsid w:val="00987613"/>
    <w:rsid w:val="009918EB"/>
    <w:rsid w:val="009A165B"/>
    <w:rsid w:val="009A3D3A"/>
    <w:rsid w:val="009A7008"/>
    <w:rsid w:val="009D5801"/>
    <w:rsid w:val="009D6974"/>
    <w:rsid w:val="009D6B58"/>
    <w:rsid w:val="00A00E43"/>
    <w:rsid w:val="00A027F9"/>
    <w:rsid w:val="00A11BAB"/>
    <w:rsid w:val="00A20CEA"/>
    <w:rsid w:val="00A21A4A"/>
    <w:rsid w:val="00A25D04"/>
    <w:rsid w:val="00A270EF"/>
    <w:rsid w:val="00A2741E"/>
    <w:rsid w:val="00A34AE2"/>
    <w:rsid w:val="00A513B1"/>
    <w:rsid w:val="00A5438F"/>
    <w:rsid w:val="00A55E80"/>
    <w:rsid w:val="00A60BD1"/>
    <w:rsid w:val="00A649F7"/>
    <w:rsid w:val="00A77941"/>
    <w:rsid w:val="00A92B9D"/>
    <w:rsid w:val="00A92C56"/>
    <w:rsid w:val="00AC01B3"/>
    <w:rsid w:val="00AC59CC"/>
    <w:rsid w:val="00AD35EA"/>
    <w:rsid w:val="00AD75D1"/>
    <w:rsid w:val="00AE0731"/>
    <w:rsid w:val="00AE1E7E"/>
    <w:rsid w:val="00B067DE"/>
    <w:rsid w:val="00B16A22"/>
    <w:rsid w:val="00B17582"/>
    <w:rsid w:val="00B238E1"/>
    <w:rsid w:val="00B25D9B"/>
    <w:rsid w:val="00B355D6"/>
    <w:rsid w:val="00B35A6F"/>
    <w:rsid w:val="00B3675A"/>
    <w:rsid w:val="00B576B1"/>
    <w:rsid w:val="00B74197"/>
    <w:rsid w:val="00B75A21"/>
    <w:rsid w:val="00B852A1"/>
    <w:rsid w:val="00B87219"/>
    <w:rsid w:val="00B90635"/>
    <w:rsid w:val="00B93AE6"/>
    <w:rsid w:val="00BA1478"/>
    <w:rsid w:val="00BA61E0"/>
    <w:rsid w:val="00BC0132"/>
    <w:rsid w:val="00BC1AED"/>
    <w:rsid w:val="00BC783B"/>
    <w:rsid w:val="00BD02AF"/>
    <w:rsid w:val="00BE1545"/>
    <w:rsid w:val="00BE5B12"/>
    <w:rsid w:val="00BF0CEC"/>
    <w:rsid w:val="00BF1340"/>
    <w:rsid w:val="00BF546A"/>
    <w:rsid w:val="00C1294B"/>
    <w:rsid w:val="00C14C76"/>
    <w:rsid w:val="00C226A8"/>
    <w:rsid w:val="00C2752B"/>
    <w:rsid w:val="00C30ADA"/>
    <w:rsid w:val="00C31E9B"/>
    <w:rsid w:val="00C54291"/>
    <w:rsid w:val="00C55128"/>
    <w:rsid w:val="00C61170"/>
    <w:rsid w:val="00C76DE4"/>
    <w:rsid w:val="00C81AB8"/>
    <w:rsid w:val="00C82250"/>
    <w:rsid w:val="00C85F20"/>
    <w:rsid w:val="00C92486"/>
    <w:rsid w:val="00C936D3"/>
    <w:rsid w:val="00C942D1"/>
    <w:rsid w:val="00CA099C"/>
    <w:rsid w:val="00CA471C"/>
    <w:rsid w:val="00CA552C"/>
    <w:rsid w:val="00CB0390"/>
    <w:rsid w:val="00CB558B"/>
    <w:rsid w:val="00CD1B50"/>
    <w:rsid w:val="00CD40C2"/>
    <w:rsid w:val="00CE072B"/>
    <w:rsid w:val="00CE48BC"/>
    <w:rsid w:val="00CE5CC5"/>
    <w:rsid w:val="00CE6F72"/>
    <w:rsid w:val="00D00B91"/>
    <w:rsid w:val="00D03101"/>
    <w:rsid w:val="00D24FF0"/>
    <w:rsid w:val="00D32812"/>
    <w:rsid w:val="00D329A2"/>
    <w:rsid w:val="00D33A31"/>
    <w:rsid w:val="00D42567"/>
    <w:rsid w:val="00D52059"/>
    <w:rsid w:val="00D53998"/>
    <w:rsid w:val="00D5758F"/>
    <w:rsid w:val="00D62A36"/>
    <w:rsid w:val="00D65BCE"/>
    <w:rsid w:val="00D666CA"/>
    <w:rsid w:val="00D70F9F"/>
    <w:rsid w:val="00D81CEF"/>
    <w:rsid w:val="00D87AC6"/>
    <w:rsid w:val="00D9133B"/>
    <w:rsid w:val="00DA5C04"/>
    <w:rsid w:val="00DA63E2"/>
    <w:rsid w:val="00DB0B80"/>
    <w:rsid w:val="00DB55F9"/>
    <w:rsid w:val="00DC0901"/>
    <w:rsid w:val="00DD7CA2"/>
    <w:rsid w:val="00DE3C1E"/>
    <w:rsid w:val="00DE6808"/>
    <w:rsid w:val="00DF7C49"/>
    <w:rsid w:val="00E04DC1"/>
    <w:rsid w:val="00E07F6D"/>
    <w:rsid w:val="00E1148C"/>
    <w:rsid w:val="00E14F07"/>
    <w:rsid w:val="00E21334"/>
    <w:rsid w:val="00E245E9"/>
    <w:rsid w:val="00E30039"/>
    <w:rsid w:val="00E3305B"/>
    <w:rsid w:val="00E35E53"/>
    <w:rsid w:val="00E3660B"/>
    <w:rsid w:val="00E40256"/>
    <w:rsid w:val="00E40704"/>
    <w:rsid w:val="00E41196"/>
    <w:rsid w:val="00E4449B"/>
    <w:rsid w:val="00E52691"/>
    <w:rsid w:val="00E6198F"/>
    <w:rsid w:val="00E71697"/>
    <w:rsid w:val="00E841FF"/>
    <w:rsid w:val="00E8532C"/>
    <w:rsid w:val="00E918B9"/>
    <w:rsid w:val="00E944BE"/>
    <w:rsid w:val="00EA2796"/>
    <w:rsid w:val="00EB7245"/>
    <w:rsid w:val="00EC1469"/>
    <w:rsid w:val="00EE4699"/>
    <w:rsid w:val="00EF0FDA"/>
    <w:rsid w:val="00EF31D3"/>
    <w:rsid w:val="00F00B94"/>
    <w:rsid w:val="00F00F7A"/>
    <w:rsid w:val="00F012CE"/>
    <w:rsid w:val="00F070B9"/>
    <w:rsid w:val="00F2009A"/>
    <w:rsid w:val="00F26874"/>
    <w:rsid w:val="00F30CA8"/>
    <w:rsid w:val="00F52A8D"/>
    <w:rsid w:val="00F63FA3"/>
    <w:rsid w:val="00F72CA9"/>
    <w:rsid w:val="00F73116"/>
    <w:rsid w:val="00F73658"/>
    <w:rsid w:val="00F856B5"/>
    <w:rsid w:val="00F9438C"/>
    <w:rsid w:val="00F94842"/>
    <w:rsid w:val="00FA189F"/>
    <w:rsid w:val="00FA3529"/>
    <w:rsid w:val="00FA40B9"/>
    <w:rsid w:val="00FB2375"/>
    <w:rsid w:val="00FB4547"/>
    <w:rsid w:val="00FC035E"/>
    <w:rsid w:val="00FC1FF0"/>
    <w:rsid w:val="00FC74B5"/>
    <w:rsid w:val="00FE0BC4"/>
    <w:rsid w:val="010702D4"/>
    <w:rsid w:val="011433C8"/>
    <w:rsid w:val="0116746D"/>
    <w:rsid w:val="01170C55"/>
    <w:rsid w:val="011B2732"/>
    <w:rsid w:val="011C780D"/>
    <w:rsid w:val="0124444A"/>
    <w:rsid w:val="01290888"/>
    <w:rsid w:val="01426CB4"/>
    <w:rsid w:val="01431A4A"/>
    <w:rsid w:val="014E2206"/>
    <w:rsid w:val="015373A8"/>
    <w:rsid w:val="01543C57"/>
    <w:rsid w:val="0159301C"/>
    <w:rsid w:val="015B3E62"/>
    <w:rsid w:val="015C1EB1"/>
    <w:rsid w:val="015D0AB3"/>
    <w:rsid w:val="01604113"/>
    <w:rsid w:val="01655FBB"/>
    <w:rsid w:val="0168443B"/>
    <w:rsid w:val="01690924"/>
    <w:rsid w:val="017535EF"/>
    <w:rsid w:val="01792184"/>
    <w:rsid w:val="017D09FC"/>
    <w:rsid w:val="019B53E2"/>
    <w:rsid w:val="01A50996"/>
    <w:rsid w:val="01A629DA"/>
    <w:rsid w:val="01BE09F4"/>
    <w:rsid w:val="01C47947"/>
    <w:rsid w:val="01C95C4E"/>
    <w:rsid w:val="01CE57B8"/>
    <w:rsid w:val="01D72B0E"/>
    <w:rsid w:val="01DD3C4D"/>
    <w:rsid w:val="01DD42F6"/>
    <w:rsid w:val="01E615D9"/>
    <w:rsid w:val="01F9206D"/>
    <w:rsid w:val="01FD5D84"/>
    <w:rsid w:val="01FE7A01"/>
    <w:rsid w:val="020D0848"/>
    <w:rsid w:val="020F68CE"/>
    <w:rsid w:val="02124DEA"/>
    <w:rsid w:val="021279B0"/>
    <w:rsid w:val="02133273"/>
    <w:rsid w:val="021C5FCD"/>
    <w:rsid w:val="02247ACE"/>
    <w:rsid w:val="022743DA"/>
    <w:rsid w:val="02337D11"/>
    <w:rsid w:val="02347BCF"/>
    <w:rsid w:val="023C1244"/>
    <w:rsid w:val="023C78FF"/>
    <w:rsid w:val="023D7EC6"/>
    <w:rsid w:val="023F0464"/>
    <w:rsid w:val="024058D6"/>
    <w:rsid w:val="024248CD"/>
    <w:rsid w:val="02477CA0"/>
    <w:rsid w:val="024C20B3"/>
    <w:rsid w:val="024E035A"/>
    <w:rsid w:val="0250396B"/>
    <w:rsid w:val="02511422"/>
    <w:rsid w:val="025617E5"/>
    <w:rsid w:val="02570FAC"/>
    <w:rsid w:val="025747CF"/>
    <w:rsid w:val="02582F7B"/>
    <w:rsid w:val="025C3DD5"/>
    <w:rsid w:val="025D0B63"/>
    <w:rsid w:val="026D1C37"/>
    <w:rsid w:val="026D6F72"/>
    <w:rsid w:val="027A76EE"/>
    <w:rsid w:val="02801807"/>
    <w:rsid w:val="0285049B"/>
    <w:rsid w:val="02860BDC"/>
    <w:rsid w:val="02867E41"/>
    <w:rsid w:val="02964E93"/>
    <w:rsid w:val="02987B74"/>
    <w:rsid w:val="029A03E5"/>
    <w:rsid w:val="02A066D0"/>
    <w:rsid w:val="02A23993"/>
    <w:rsid w:val="02A73C8A"/>
    <w:rsid w:val="02BC3CDE"/>
    <w:rsid w:val="02BD6DFD"/>
    <w:rsid w:val="02C44BAF"/>
    <w:rsid w:val="02C53CE8"/>
    <w:rsid w:val="02C72207"/>
    <w:rsid w:val="02C750BF"/>
    <w:rsid w:val="02C941D1"/>
    <w:rsid w:val="02DA1F3A"/>
    <w:rsid w:val="02DB2BCB"/>
    <w:rsid w:val="02EF1E8A"/>
    <w:rsid w:val="02F17CC7"/>
    <w:rsid w:val="02F241C8"/>
    <w:rsid w:val="02FD70B9"/>
    <w:rsid w:val="02FE6A08"/>
    <w:rsid w:val="03027E6B"/>
    <w:rsid w:val="03082298"/>
    <w:rsid w:val="030F42DA"/>
    <w:rsid w:val="0310139D"/>
    <w:rsid w:val="03176650"/>
    <w:rsid w:val="03187FD9"/>
    <w:rsid w:val="03224CA3"/>
    <w:rsid w:val="0324026B"/>
    <w:rsid w:val="032A0FC8"/>
    <w:rsid w:val="032A1ADA"/>
    <w:rsid w:val="03322475"/>
    <w:rsid w:val="03360E66"/>
    <w:rsid w:val="0339407D"/>
    <w:rsid w:val="033B3004"/>
    <w:rsid w:val="034D42BC"/>
    <w:rsid w:val="034F2928"/>
    <w:rsid w:val="035E700F"/>
    <w:rsid w:val="035F07F1"/>
    <w:rsid w:val="0361440A"/>
    <w:rsid w:val="037113A7"/>
    <w:rsid w:val="037A3D11"/>
    <w:rsid w:val="037C1244"/>
    <w:rsid w:val="037E283D"/>
    <w:rsid w:val="03823EEB"/>
    <w:rsid w:val="038608E5"/>
    <w:rsid w:val="03874D0B"/>
    <w:rsid w:val="038C0D97"/>
    <w:rsid w:val="038D4274"/>
    <w:rsid w:val="038F74C4"/>
    <w:rsid w:val="03927196"/>
    <w:rsid w:val="039F42B0"/>
    <w:rsid w:val="03B46C2F"/>
    <w:rsid w:val="03BE55DC"/>
    <w:rsid w:val="03D1471E"/>
    <w:rsid w:val="03D23931"/>
    <w:rsid w:val="03D301EB"/>
    <w:rsid w:val="03D654A8"/>
    <w:rsid w:val="03DA0693"/>
    <w:rsid w:val="03DA5D3A"/>
    <w:rsid w:val="03DA5FDE"/>
    <w:rsid w:val="03E905B2"/>
    <w:rsid w:val="03EA1184"/>
    <w:rsid w:val="03EE6B3B"/>
    <w:rsid w:val="03F22D68"/>
    <w:rsid w:val="04025BED"/>
    <w:rsid w:val="040456C8"/>
    <w:rsid w:val="040A0335"/>
    <w:rsid w:val="040D0852"/>
    <w:rsid w:val="0414147C"/>
    <w:rsid w:val="04165009"/>
    <w:rsid w:val="04172E36"/>
    <w:rsid w:val="0418125A"/>
    <w:rsid w:val="041871BE"/>
    <w:rsid w:val="0419122D"/>
    <w:rsid w:val="041C12CF"/>
    <w:rsid w:val="042E2614"/>
    <w:rsid w:val="04334E15"/>
    <w:rsid w:val="043775DD"/>
    <w:rsid w:val="043F22B4"/>
    <w:rsid w:val="043F296A"/>
    <w:rsid w:val="043F474B"/>
    <w:rsid w:val="04404A4B"/>
    <w:rsid w:val="04432092"/>
    <w:rsid w:val="044730EB"/>
    <w:rsid w:val="045E483F"/>
    <w:rsid w:val="046248DD"/>
    <w:rsid w:val="0469244F"/>
    <w:rsid w:val="04732647"/>
    <w:rsid w:val="04754611"/>
    <w:rsid w:val="047643D6"/>
    <w:rsid w:val="047F0FEB"/>
    <w:rsid w:val="04814709"/>
    <w:rsid w:val="04856C1B"/>
    <w:rsid w:val="04884DA6"/>
    <w:rsid w:val="049C013A"/>
    <w:rsid w:val="049F247F"/>
    <w:rsid w:val="04AA465D"/>
    <w:rsid w:val="04B215AA"/>
    <w:rsid w:val="04B52B18"/>
    <w:rsid w:val="04BD0EBF"/>
    <w:rsid w:val="04BE4C8C"/>
    <w:rsid w:val="04BF7388"/>
    <w:rsid w:val="04D31187"/>
    <w:rsid w:val="04D92AF3"/>
    <w:rsid w:val="04E04B0B"/>
    <w:rsid w:val="04EC3D41"/>
    <w:rsid w:val="04EF46C9"/>
    <w:rsid w:val="04FE464C"/>
    <w:rsid w:val="05027B2B"/>
    <w:rsid w:val="05032AE1"/>
    <w:rsid w:val="050D4849"/>
    <w:rsid w:val="050E3AF2"/>
    <w:rsid w:val="050E6F76"/>
    <w:rsid w:val="0514431E"/>
    <w:rsid w:val="051636E8"/>
    <w:rsid w:val="051761D8"/>
    <w:rsid w:val="05176FA7"/>
    <w:rsid w:val="05184F9C"/>
    <w:rsid w:val="0525690C"/>
    <w:rsid w:val="052847D0"/>
    <w:rsid w:val="052C6C0F"/>
    <w:rsid w:val="053A0334"/>
    <w:rsid w:val="053A3DD5"/>
    <w:rsid w:val="053C5A89"/>
    <w:rsid w:val="0557383C"/>
    <w:rsid w:val="055B15E7"/>
    <w:rsid w:val="055E0270"/>
    <w:rsid w:val="05686F1A"/>
    <w:rsid w:val="056F72B2"/>
    <w:rsid w:val="05705693"/>
    <w:rsid w:val="057C3E6F"/>
    <w:rsid w:val="05865182"/>
    <w:rsid w:val="059040FE"/>
    <w:rsid w:val="059046F8"/>
    <w:rsid w:val="05912EFD"/>
    <w:rsid w:val="05923462"/>
    <w:rsid w:val="059C727C"/>
    <w:rsid w:val="05A56B16"/>
    <w:rsid w:val="05A62561"/>
    <w:rsid w:val="05A662E8"/>
    <w:rsid w:val="05A97042"/>
    <w:rsid w:val="05AA70BA"/>
    <w:rsid w:val="05B83994"/>
    <w:rsid w:val="05C173E2"/>
    <w:rsid w:val="05CC2B83"/>
    <w:rsid w:val="05CF4A33"/>
    <w:rsid w:val="05D656EE"/>
    <w:rsid w:val="05E63599"/>
    <w:rsid w:val="05F07072"/>
    <w:rsid w:val="05F47F52"/>
    <w:rsid w:val="05F72393"/>
    <w:rsid w:val="05F94DCD"/>
    <w:rsid w:val="05FA3812"/>
    <w:rsid w:val="06062F97"/>
    <w:rsid w:val="061C0856"/>
    <w:rsid w:val="061D6D0E"/>
    <w:rsid w:val="062448F4"/>
    <w:rsid w:val="06273C1C"/>
    <w:rsid w:val="062B0732"/>
    <w:rsid w:val="062B1893"/>
    <w:rsid w:val="062B79DE"/>
    <w:rsid w:val="063466FA"/>
    <w:rsid w:val="063D1234"/>
    <w:rsid w:val="064406CB"/>
    <w:rsid w:val="0644716D"/>
    <w:rsid w:val="06455AF0"/>
    <w:rsid w:val="06465B85"/>
    <w:rsid w:val="06502E81"/>
    <w:rsid w:val="06551617"/>
    <w:rsid w:val="065F10D4"/>
    <w:rsid w:val="066D3884"/>
    <w:rsid w:val="066F110D"/>
    <w:rsid w:val="06782196"/>
    <w:rsid w:val="068F54CC"/>
    <w:rsid w:val="069074E0"/>
    <w:rsid w:val="069114AA"/>
    <w:rsid w:val="06920EB6"/>
    <w:rsid w:val="06945622"/>
    <w:rsid w:val="069845E6"/>
    <w:rsid w:val="069B2446"/>
    <w:rsid w:val="06A70E93"/>
    <w:rsid w:val="06AC6A6B"/>
    <w:rsid w:val="06B47857"/>
    <w:rsid w:val="06C64CD7"/>
    <w:rsid w:val="06C711E3"/>
    <w:rsid w:val="06D03D80"/>
    <w:rsid w:val="06D2497E"/>
    <w:rsid w:val="06D75FC1"/>
    <w:rsid w:val="06DD150D"/>
    <w:rsid w:val="06E421FE"/>
    <w:rsid w:val="06E65C88"/>
    <w:rsid w:val="06EB1FDA"/>
    <w:rsid w:val="06EC2E30"/>
    <w:rsid w:val="06EE00B7"/>
    <w:rsid w:val="06F5335E"/>
    <w:rsid w:val="06F62747"/>
    <w:rsid w:val="06FC6923"/>
    <w:rsid w:val="07060C0C"/>
    <w:rsid w:val="07171406"/>
    <w:rsid w:val="071C671D"/>
    <w:rsid w:val="0720372A"/>
    <w:rsid w:val="07210EFD"/>
    <w:rsid w:val="07211D4D"/>
    <w:rsid w:val="07292FB5"/>
    <w:rsid w:val="072F1488"/>
    <w:rsid w:val="07322571"/>
    <w:rsid w:val="07342561"/>
    <w:rsid w:val="073624BF"/>
    <w:rsid w:val="07521E88"/>
    <w:rsid w:val="07543893"/>
    <w:rsid w:val="07552130"/>
    <w:rsid w:val="07555CC5"/>
    <w:rsid w:val="07561007"/>
    <w:rsid w:val="075772CE"/>
    <w:rsid w:val="07585B24"/>
    <w:rsid w:val="07634B56"/>
    <w:rsid w:val="07740BAF"/>
    <w:rsid w:val="077706A0"/>
    <w:rsid w:val="077B0190"/>
    <w:rsid w:val="07866B24"/>
    <w:rsid w:val="0790724C"/>
    <w:rsid w:val="079C751A"/>
    <w:rsid w:val="07A1396F"/>
    <w:rsid w:val="07A32AD3"/>
    <w:rsid w:val="07A476E8"/>
    <w:rsid w:val="07AB1BE8"/>
    <w:rsid w:val="07AB20F7"/>
    <w:rsid w:val="07AF508C"/>
    <w:rsid w:val="07B6584B"/>
    <w:rsid w:val="07B92B7C"/>
    <w:rsid w:val="07BE007D"/>
    <w:rsid w:val="07C03ACA"/>
    <w:rsid w:val="07CA335D"/>
    <w:rsid w:val="07CF5608"/>
    <w:rsid w:val="07D478A0"/>
    <w:rsid w:val="07D6052F"/>
    <w:rsid w:val="07E259A6"/>
    <w:rsid w:val="07E51568"/>
    <w:rsid w:val="07EE6C85"/>
    <w:rsid w:val="07F264EC"/>
    <w:rsid w:val="07F60344"/>
    <w:rsid w:val="07F75C79"/>
    <w:rsid w:val="07FA1EE5"/>
    <w:rsid w:val="07FE491D"/>
    <w:rsid w:val="07FF411D"/>
    <w:rsid w:val="08015EFC"/>
    <w:rsid w:val="0804112E"/>
    <w:rsid w:val="080D2E4D"/>
    <w:rsid w:val="080F2550"/>
    <w:rsid w:val="081151F2"/>
    <w:rsid w:val="0815762A"/>
    <w:rsid w:val="08206641"/>
    <w:rsid w:val="08241BBE"/>
    <w:rsid w:val="08332819"/>
    <w:rsid w:val="083644A4"/>
    <w:rsid w:val="08367FF9"/>
    <w:rsid w:val="08396187"/>
    <w:rsid w:val="083C230C"/>
    <w:rsid w:val="083D5DC9"/>
    <w:rsid w:val="08502091"/>
    <w:rsid w:val="085479D1"/>
    <w:rsid w:val="086360C1"/>
    <w:rsid w:val="086554D5"/>
    <w:rsid w:val="086822B0"/>
    <w:rsid w:val="08686FCC"/>
    <w:rsid w:val="08692635"/>
    <w:rsid w:val="0869448C"/>
    <w:rsid w:val="08752BB4"/>
    <w:rsid w:val="087D15C4"/>
    <w:rsid w:val="087E076C"/>
    <w:rsid w:val="087F780C"/>
    <w:rsid w:val="08816EF6"/>
    <w:rsid w:val="088272FC"/>
    <w:rsid w:val="08850A28"/>
    <w:rsid w:val="089037A1"/>
    <w:rsid w:val="0898267C"/>
    <w:rsid w:val="08987754"/>
    <w:rsid w:val="089C758D"/>
    <w:rsid w:val="089D26CC"/>
    <w:rsid w:val="08A41020"/>
    <w:rsid w:val="08CA526F"/>
    <w:rsid w:val="08D00291"/>
    <w:rsid w:val="08E2102D"/>
    <w:rsid w:val="08E65967"/>
    <w:rsid w:val="08E73B0E"/>
    <w:rsid w:val="08EA30C1"/>
    <w:rsid w:val="090C185D"/>
    <w:rsid w:val="0913031B"/>
    <w:rsid w:val="091762CD"/>
    <w:rsid w:val="091A14CC"/>
    <w:rsid w:val="091C14FF"/>
    <w:rsid w:val="09200BCD"/>
    <w:rsid w:val="09223351"/>
    <w:rsid w:val="092E1232"/>
    <w:rsid w:val="093151D1"/>
    <w:rsid w:val="093B1956"/>
    <w:rsid w:val="0944015B"/>
    <w:rsid w:val="094C1B6E"/>
    <w:rsid w:val="094E3191"/>
    <w:rsid w:val="09577C11"/>
    <w:rsid w:val="09595463"/>
    <w:rsid w:val="095B1893"/>
    <w:rsid w:val="095D7441"/>
    <w:rsid w:val="095E2DF5"/>
    <w:rsid w:val="09764DCE"/>
    <w:rsid w:val="097C3136"/>
    <w:rsid w:val="09801A13"/>
    <w:rsid w:val="09812691"/>
    <w:rsid w:val="09923364"/>
    <w:rsid w:val="09A137B2"/>
    <w:rsid w:val="09A70FFE"/>
    <w:rsid w:val="09A776D1"/>
    <w:rsid w:val="09AE326D"/>
    <w:rsid w:val="09B31655"/>
    <w:rsid w:val="09B7548B"/>
    <w:rsid w:val="09B924FC"/>
    <w:rsid w:val="09B92AED"/>
    <w:rsid w:val="09C760FE"/>
    <w:rsid w:val="09CF1F5C"/>
    <w:rsid w:val="09D11E20"/>
    <w:rsid w:val="09D3113D"/>
    <w:rsid w:val="09D5262D"/>
    <w:rsid w:val="09DB41CA"/>
    <w:rsid w:val="09DF2A85"/>
    <w:rsid w:val="09DF745A"/>
    <w:rsid w:val="09E162A4"/>
    <w:rsid w:val="09E201E6"/>
    <w:rsid w:val="09E376D9"/>
    <w:rsid w:val="09E60E90"/>
    <w:rsid w:val="09EC4729"/>
    <w:rsid w:val="09F3348E"/>
    <w:rsid w:val="09F41A22"/>
    <w:rsid w:val="09F70AD3"/>
    <w:rsid w:val="09F736AE"/>
    <w:rsid w:val="09FB7367"/>
    <w:rsid w:val="09FF117A"/>
    <w:rsid w:val="09FF495F"/>
    <w:rsid w:val="0A0855DF"/>
    <w:rsid w:val="0A0A0D88"/>
    <w:rsid w:val="0A0A6835"/>
    <w:rsid w:val="0A0C3232"/>
    <w:rsid w:val="0A201B67"/>
    <w:rsid w:val="0A287A2F"/>
    <w:rsid w:val="0A316D09"/>
    <w:rsid w:val="0A354BB6"/>
    <w:rsid w:val="0A3D4979"/>
    <w:rsid w:val="0A473BE9"/>
    <w:rsid w:val="0A4D0173"/>
    <w:rsid w:val="0A4E393A"/>
    <w:rsid w:val="0A516F86"/>
    <w:rsid w:val="0A527429"/>
    <w:rsid w:val="0A5318F4"/>
    <w:rsid w:val="0A59683F"/>
    <w:rsid w:val="0A5B1BB3"/>
    <w:rsid w:val="0A670F62"/>
    <w:rsid w:val="0A6F0FB4"/>
    <w:rsid w:val="0A7B6A61"/>
    <w:rsid w:val="0A7F1BB5"/>
    <w:rsid w:val="0A8028D3"/>
    <w:rsid w:val="0A8E01DA"/>
    <w:rsid w:val="0A93759F"/>
    <w:rsid w:val="0A967ABC"/>
    <w:rsid w:val="0AA1345B"/>
    <w:rsid w:val="0AB05493"/>
    <w:rsid w:val="0AB1211B"/>
    <w:rsid w:val="0AB86341"/>
    <w:rsid w:val="0AB8684C"/>
    <w:rsid w:val="0AD5203E"/>
    <w:rsid w:val="0ADD081A"/>
    <w:rsid w:val="0AE02AD5"/>
    <w:rsid w:val="0AE14A88"/>
    <w:rsid w:val="0AE3703D"/>
    <w:rsid w:val="0AE44331"/>
    <w:rsid w:val="0AEC6CAF"/>
    <w:rsid w:val="0AEE5FD1"/>
    <w:rsid w:val="0AF17E3C"/>
    <w:rsid w:val="0AF53DB5"/>
    <w:rsid w:val="0AF5468F"/>
    <w:rsid w:val="0AF56D9E"/>
    <w:rsid w:val="0AF71914"/>
    <w:rsid w:val="0AFB0E64"/>
    <w:rsid w:val="0AFF2173"/>
    <w:rsid w:val="0B0530AA"/>
    <w:rsid w:val="0B0A789A"/>
    <w:rsid w:val="0B0E2E40"/>
    <w:rsid w:val="0B1070CA"/>
    <w:rsid w:val="0B1726F3"/>
    <w:rsid w:val="0B183F48"/>
    <w:rsid w:val="0B1A0A35"/>
    <w:rsid w:val="0B1C49BD"/>
    <w:rsid w:val="0B1F20D2"/>
    <w:rsid w:val="0B275F39"/>
    <w:rsid w:val="0B2F0C8B"/>
    <w:rsid w:val="0B4027EF"/>
    <w:rsid w:val="0B425308"/>
    <w:rsid w:val="0B505490"/>
    <w:rsid w:val="0B601AA3"/>
    <w:rsid w:val="0B67487C"/>
    <w:rsid w:val="0B69002B"/>
    <w:rsid w:val="0B692E7B"/>
    <w:rsid w:val="0B761EF5"/>
    <w:rsid w:val="0B7D3E85"/>
    <w:rsid w:val="0B850372"/>
    <w:rsid w:val="0B882E7B"/>
    <w:rsid w:val="0B8E5FB8"/>
    <w:rsid w:val="0B8E7D66"/>
    <w:rsid w:val="0B902531"/>
    <w:rsid w:val="0B9A2BAF"/>
    <w:rsid w:val="0BA37236"/>
    <w:rsid w:val="0BA468F2"/>
    <w:rsid w:val="0BB222E5"/>
    <w:rsid w:val="0BB90FBC"/>
    <w:rsid w:val="0BBD6148"/>
    <w:rsid w:val="0BC8771C"/>
    <w:rsid w:val="0BCA5242"/>
    <w:rsid w:val="0BCF32B1"/>
    <w:rsid w:val="0BCF4A06"/>
    <w:rsid w:val="0BD0037E"/>
    <w:rsid w:val="0BD43787"/>
    <w:rsid w:val="0BD85784"/>
    <w:rsid w:val="0BDD4567"/>
    <w:rsid w:val="0BE10FF8"/>
    <w:rsid w:val="0BE948C8"/>
    <w:rsid w:val="0BF04C22"/>
    <w:rsid w:val="0BF347B4"/>
    <w:rsid w:val="0BF37786"/>
    <w:rsid w:val="0BF80E78"/>
    <w:rsid w:val="0BF978D5"/>
    <w:rsid w:val="0C057F47"/>
    <w:rsid w:val="0C0718D0"/>
    <w:rsid w:val="0C085896"/>
    <w:rsid w:val="0C127611"/>
    <w:rsid w:val="0C1666D9"/>
    <w:rsid w:val="0C186A75"/>
    <w:rsid w:val="0C1D698F"/>
    <w:rsid w:val="0C22502B"/>
    <w:rsid w:val="0C22507E"/>
    <w:rsid w:val="0C292E49"/>
    <w:rsid w:val="0C302282"/>
    <w:rsid w:val="0C3F1649"/>
    <w:rsid w:val="0C4548C9"/>
    <w:rsid w:val="0C510D41"/>
    <w:rsid w:val="0C5300B0"/>
    <w:rsid w:val="0C5E1E2E"/>
    <w:rsid w:val="0C637445"/>
    <w:rsid w:val="0C6B5C53"/>
    <w:rsid w:val="0C6D0FC4"/>
    <w:rsid w:val="0C7C78BB"/>
    <w:rsid w:val="0C7E65A6"/>
    <w:rsid w:val="0C825A45"/>
    <w:rsid w:val="0C8850BB"/>
    <w:rsid w:val="0C895464"/>
    <w:rsid w:val="0C8A1FB5"/>
    <w:rsid w:val="0C8E4812"/>
    <w:rsid w:val="0C8F3D96"/>
    <w:rsid w:val="0C944CF0"/>
    <w:rsid w:val="0C985340"/>
    <w:rsid w:val="0C9E35CC"/>
    <w:rsid w:val="0CAB4542"/>
    <w:rsid w:val="0CAF1286"/>
    <w:rsid w:val="0CB3699D"/>
    <w:rsid w:val="0CBF54D7"/>
    <w:rsid w:val="0CC07683"/>
    <w:rsid w:val="0CC63603"/>
    <w:rsid w:val="0CC821B8"/>
    <w:rsid w:val="0CC955D5"/>
    <w:rsid w:val="0CCE16A4"/>
    <w:rsid w:val="0CE23873"/>
    <w:rsid w:val="0CE416CA"/>
    <w:rsid w:val="0CE607E4"/>
    <w:rsid w:val="0CEA47E6"/>
    <w:rsid w:val="0CED1F11"/>
    <w:rsid w:val="0CED7250"/>
    <w:rsid w:val="0CF53203"/>
    <w:rsid w:val="0CF821E9"/>
    <w:rsid w:val="0CFA1B57"/>
    <w:rsid w:val="0CFB4786"/>
    <w:rsid w:val="0CFB58CF"/>
    <w:rsid w:val="0D017B1B"/>
    <w:rsid w:val="0D063E18"/>
    <w:rsid w:val="0D083471"/>
    <w:rsid w:val="0D16487F"/>
    <w:rsid w:val="0D19062B"/>
    <w:rsid w:val="0D194D9C"/>
    <w:rsid w:val="0D2844B0"/>
    <w:rsid w:val="0D29243C"/>
    <w:rsid w:val="0D2E7A52"/>
    <w:rsid w:val="0D36694B"/>
    <w:rsid w:val="0D3A0260"/>
    <w:rsid w:val="0D3E345E"/>
    <w:rsid w:val="0D451EC0"/>
    <w:rsid w:val="0D4A48FD"/>
    <w:rsid w:val="0D4D3412"/>
    <w:rsid w:val="0D4D5F4D"/>
    <w:rsid w:val="0D512C3E"/>
    <w:rsid w:val="0D5D3400"/>
    <w:rsid w:val="0D613984"/>
    <w:rsid w:val="0D6B0C09"/>
    <w:rsid w:val="0D772448"/>
    <w:rsid w:val="0D8808A0"/>
    <w:rsid w:val="0D8854B4"/>
    <w:rsid w:val="0D8B70FA"/>
    <w:rsid w:val="0D912C2E"/>
    <w:rsid w:val="0D957AD2"/>
    <w:rsid w:val="0D9A71F4"/>
    <w:rsid w:val="0D9F6851"/>
    <w:rsid w:val="0DA95603"/>
    <w:rsid w:val="0DAA0E90"/>
    <w:rsid w:val="0DAB4BFF"/>
    <w:rsid w:val="0DAE5327"/>
    <w:rsid w:val="0DB07A3B"/>
    <w:rsid w:val="0DB16D30"/>
    <w:rsid w:val="0DBB19BA"/>
    <w:rsid w:val="0DBD2BA4"/>
    <w:rsid w:val="0DBD5D5E"/>
    <w:rsid w:val="0DC6223B"/>
    <w:rsid w:val="0DCB44D7"/>
    <w:rsid w:val="0DCE7C16"/>
    <w:rsid w:val="0DD24882"/>
    <w:rsid w:val="0DDB5A8A"/>
    <w:rsid w:val="0DDE6162"/>
    <w:rsid w:val="0DE27024"/>
    <w:rsid w:val="0DE620DB"/>
    <w:rsid w:val="0DEE5685"/>
    <w:rsid w:val="0DF03FD5"/>
    <w:rsid w:val="0DF058F6"/>
    <w:rsid w:val="0DF20D04"/>
    <w:rsid w:val="0DF47FAC"/>
    <w:rsid w:val="0DF745C2"/>
    <w:rsid w:val="0E00573E"/>
    <w:rsid w:val="0E01541A"/>
    <w:rsid w:val="0E06518A"/>
    <w:rsid w:val="0E071E0A"/>
    <w:rsid w:val="0E104180"/>
    <w:rsid w:val="0E165102"/>
    <w:rsid w:val="0E166353"/>
    <w:rsid w:val="0E1B4551"/>
    <w:rsid w:val="0E1E0EFD"/>
    <w:rsid w:val="0E1E3839"/>
    <w:rsid w:val="0E270B8E"/>
    <w:rsid w:val="0E276488"/>
    <w:rsid w:val="0E2C21E4"/>
    <w:rsid w:val="0E31728E"/>
    <w:rsid w:val="0E372CA5"/>
    <w:rsid w:val="0E3B4132"/>
    <w:rsid w:val="0E40133F"/>
    <w:rsid w:val="0E4117B7"/>
    <w:rsid w:val="0E436666"/>
    <w:rsid w:val="0E460DCC"/>
    <w:rsid w:val="0E4D3557"/>
    <w:rsid w:val="0E50373D"/>
    <w:rsid w:val="0E504258"/>
    <w:rsid w:val="0E5468DF"/>
    <w:rsid w:val="0E5E079B"/>
    <w:rsid w:val="0E5F0FD8"/>
    <w:rsid w:val="0E601E8E"/>
    <w:rsid w:val="0E624794"/>
    <w:rsid w:val="0E6633A8"/>
    <w:rsid w:val="0E672399"/>
    <w:rsid w:val="0E6C43A0"/>
    <w:rsid w:val="0E763DBB"/>
    <w:rsid w:val="0E806074"/>
    <w:rsid w:val="0E8274A2"/>
    <w:rsid w:val="0E8F7C34"/>
    <w:rsid w:val="0E932D26"/>
    <w:rsid w:val="0E9A178F"/>
    <w:rsid w:val="0E9C02E3"/>
    <w:rsid w:val="0E9D4E90"/>
    <w:rsid w:val="0EA05FCD"/>
    <w:rsid w:val="0EA14E41"/>
    <w:rsid w:val="0EA207FD"/>
    <w:rsid w:val="0EA4059F"/>
    <w:rsid w:val="0EA53DC1"/>
    <w:rsid w:val="0EA740B7"/>
    <w:rsid w:val="0EAB079B"/>
    <w:rsid w:val="0EAF4BC3"/>
    <w:rsid w:val="0EB2795A"/>
    <w:rsid w:val="0EB53976"/>
    <w:rsid w:val="0EB85DF0"/>
    <w:rsid w:val="0EC3241C"/>
    <w:rsid w:val="0EC8417B"/>
    <w:rsid w:val="0ED36170"/>
    <w:rsid w:val="0ED62150"/>
    <w:rsid w:val="0EDB546D"/>
    <w:rsid w:val="0EDE6402"/>
    <w:rsid w:val="0EE14AC1"/>
    <w:rsid w:val="0EE7610B"/>
    <w:rsid w:val="0EE9789D"/>
    <w:rsid w:val="0EEB036B"/>
    <w:rsid w:val="0EF02607"/>
    <w:rsid w:val="0EF10016"/>
    <w:rsid w:val="0EF40908"/>
    <w:rsid w:val="0EF91883"/>
    <w:rsid w:val="0EFA04D8"/>
    <w:rsid w:val="0EFD6B8C"/>
    <w:rsid w:val="0EFE09B6"/>
    <w:rsid w:val="0F024A7F"/>
    <w:rsid w:val="0F032819"/>
    <w:rsid w:val="0F0554F0"/>
    <w:rsid w:val="0F136F46"/>
    <w:rsid w:val="0F192DA4"/>
    <w:rsid w:val="0F20661C"/>
    <w:rsid w:val="0F215850"/>
    <w:rsid w:val="0F2F426D"/>
    <w:rsid w:val="0F314DF9"/>
    <w:rsid w:val="0F326DE5"/>
    <w:rsid w:val="0F347BAE"/>
    <w:rsid w:val="0F362C0C"/>
    <w:rsid w:val="0F376CE6"/>
    <w:rsid w:val="0F46071C"/>
    <w:rsid w:val="0F5C20D6"/>
    <w:rsid w:val="0F5F3A1E"/>
    <w:rsid w:val="0F6A7219"/>
    <w:rsid w:val="0F6D0554"/>
    <w:rsid w:val="0F6F44D6"/>
    <w:rsid w:val="0F795E8B"/>
    <w:rsid w:val="0F85604E"/>
    <w:rsid w:val="0F8B4FE6"/>
    <w:rsid w:val="0F921D19"/>
    <w:rsid w:val="0FA05928"/>
    <w:rsid w:val="0FA15F09"/>
    <w:rsid w:val="0FA165C7"/>
    <w:rsid w:val="0FA20284"/>
    <w:rsid w:val="0FA27D41"/>
    <w:rsid w:val="0FA90C1E"/>
    <w:rsid w:val="0FB7130E"/>
    <w:rsid w:val="0FB92DDB"/>
    <w:rsid w:val="0FBB3F53"/>
    <w:rsid w:val="0FC11B8A"/>
    <w:rsid w:val="0FC45352"/>
    <w:rsid w:val="0FD01208"/>
    <w:rsid w:val="0FD226C4"/>
    <w:rsid w:val="0FD7617F"/>
    <w:rsid w:val="0FDA389A"/>
    <w:rsid w:val="0FDB39A8"/>
    <w:rsid w:val="0FDB3F4E"/>
    <w:rsid w:val="0FE61325"/>
    <w:rsid w:val="0FE64C25"/>
    <w:rsid w:val="0FF56606"/>
    <w:rsid w:val="0FF972B4"/>
    <w:rsid w:val="0FFC60FD"/>
    <w:rsid w:val="100A2CB5"/>
    <w:rsid w:val="101221B1"/>
    <w:rsid w:val="10152392"/>
    <w:rsid w:val="101A2EF8"/>
    <w:rsid w:val="101D7F31"/>
    <w:rsid w:val="102571B1"/>
    <w:rsid w:val="103149A5"/>
    <w:rsid w:val="10391DCB"/>
    <w:rsid w:val="103C4F63"/>
    <w:rsid w:val="10466D85"/>
    <w:rsid w:val="1051765F"/>
    <w:rsid w:val="10585ACC"/>
    <w:rsid w:val="105F7207"/>
    <w:rsid w:val="106027DF"/>
    <w:rsid w:val="1060599F"/>
    <w:rsid w:val="106342D2"/>
    <w:rsid w:val="1064685E"/>
    <w:rsid w:val="106F0166"/>
    <w:rsid w:val="107161E8"/>
    <w:rsid w:val="1074700A"/>
    <w:rsid w:val="10766C3C"/>
    <w:rsid w:val="107F5B5B"/>
    <w:rsid w:val="10837F9A"/>
    <w:rsid w:val="108E3B33"/>
    <w:rsid w:val="108E6AC1"/>
    <w:rsid w:val="10905CA6"/>
    <w:rsid w:val="10921026"/>
    <w:rsid w:val="1095282A"/>
    <w:rsid w:val="10993435"/>
    <w:rsid w:val="10A25812"/>
    <w:rsid w:val="10A36062"/>
    <w:rsid w:val="10A87087"/>
    <w:rsid w:val="10AC0574"/>
    <w:rsid w:val="10B32D86"/>
    <w:rsid w:val="10C5422A"/>
    <w:rsid w:val="10C747BD"/>
    <w:rsid w:val="10CB092C"/>
    <w:rsid w:val="10CD448E"/>
    <w:rsid w:val="10D30124"/>
    <w:rsid w:val="10DB3A4D"/>
    <w:rsid w:val="10DF1A88"/>
    <w:rsid w:val="10E41575"/>
    <w:rsid w:val="10E50428"/>
    <w:rsid w:val="10EC1A8F"/>
    <w:rsid w:val="10F631FC"/>
    <w:rsid w:val="10F8112B"/>
    <w:rsid w:val="10FA4BDB"/>
    <w:rsid w:val="10FC625E"/>
    <w:rsid w:val="11056CE3"/>
    <w:rsid w:val="110E1956"/>
    <w:rsid w:val="110E5842"/>
    <w:rsid w:val="11157199"/>
    <w:rsid w:val="111A61AB"/>
    <w:rsid w:val="111B29D6"/>
    <w:rsid w:val="111C4749"/>
    <w:rsid w:val="11261CAD"/>
    <w:rsid w:val="11276C93"/>
    <w:rsid w:val="112C6057"/>
    <w:rsid w:val="11344035"/>
    <w:rsid w:val="1136165E"/>
    <w:rsid w:val="113A5F7A"/>
    <w:rsid w:val="113F0F54"/>
    <w:rsid w:val="11403E93"/>
    <w:rsid w:val="11421D1E"/>
    <w:rsid w:val="115A2A75"/>
    <w:rsid w:val="115B6AC8"/>
    <w:rsid w:val="117B71FE"/>
    <w:rsid w:val="1193328F"/>
    <w:rsid w:val="1195596A"/>
    <w:rsid w:val="11A01F80"/>
    <w:rsid w:val="11A244F7"/>
    <w:rsid w:val="11A42091"/>
    <w:rsid w:val="11B07141"/>
    <w:rsid w:val="11BC387F"/>
    <w:rsid w:val="11BC53BA"/>
    <w:rsid w:val="11C30712"/>
    <w:rsid w:val="11DB182B"/>
    <w:rsid w:val="11E561B0"/>
    <w:rsid w:val="11E7196C"/>
    <w:rsid w:val="11E838C5"/>
    <w:rsid w:val="11EA7FDA"/>
    <w:rsid w:val="11EB168F"/>
    <w:rsid w:val="11EF27AD"/>
    <w:rsid w:val="11F748B7"/>
    <w:rsid w:val="1203795C"/>
    <w:rsid w:val="12046FD4"/>
    <w:rsid w:val="12114D60"/>
    <w:rsid w:val="121B403F"/>
    <w:rsid w:val="122B2D4C"/>
    <w:rsid w:val="122E792D"/>
    <w:rsid w:val="123D224A"/>
    <w:rsid w:val="12473358"/>
    <w:rsid w:val="124A4EB2"/>
    <w:rsid w:val="1261698D"/>
    <w:rsid w:val="126277A6"/>
    <w:rsid w:val="1266530F"/>
    <w:rsid w:val="12670275"/>
    <w:rsid w:val="12685280"/>
    <w:rsid w:val="1274154C"/>
    <w:rsid w:val="12760ACF"/>
    <w:rsid w:val="127B0BE1"/>
    <w:rsid w:val="127C7FB3"/>
    <w:rsid w:val="12853901"/>
    <w:rsid w:val="128802B2"/>
    <w:rsid w:val="1288550F"/>
    <w:rsid w:val="128B6E80"/>
    <w:rsid w:val="128D5718"/>
    <w:rsid w:val="128F6017"/>
    <w:rsid w:val="129308E3"/>
    <w:rsid w:val="129739A4"/>
    <w:rsid w:val="129D14D3"/>
    <w:rsid w:val="12AA5243"/>
    <w:rsid w:val="12AD0F24"/>
    <w:rsid w:val="12AF1A82"/>
    <w:rsid w:val="12B01A1E"/>
    <w:rsid w:val="12B435F6"/>
    <w:rsid w:val="12B84A11"/>
    <w:rsid w:val="12C542E8"/>
    <w:rsid w:val="12CB2BD4"/>
    <w:rsid w:val="12D22110"/>
    <w:rsid w:val="12E30615"/>
    <w:rsid w:val="12E5481E"/>
    <w:rsid w:val="12EB6CA7"/>
    <w:rsid w:val="12F72812"/>
    <w:rsid w:val="12FA205A"/>
    <w:rsid w:val="12FE3A23"/>
    <w:rsid w:val="13002803"/>
    <w:rsid w:val="130722D1"/>
    <w:rsid w:val="13086650"/>
    <w:rsid w:val="13196286"/>
    <w:rsid w:val="132075DE"/>
    <w:rsid w:val="13214067"/>
    <w:rsid w:val="132239BB"/>
    <w:rsid w:val="132536A6"/>
    <w:rsid w:val="132A1B4B"/>
    <w:rsid w:val="132C6E9D"/>
    <w:rsid w:val="13363133"/>
    <w:rsid w:val="133C5EAE"/>
    <w:rsid w:val="134D06CF"/>
    <w:rsid w:val="134D259B"/>
    <w:rsid w:val="134F61B5"/>
    <w:rsid w:val="13574A1C"/>
    <w:rsid w:val="13580CBC"/>
    <w:rsid w:val="136178DD"/>
    <w:rsid w:val="136D4F7F"/>
    <w:rsid w:val="13766598"/>
    <w:rsid w:val="137953D4"/>
    <w:rsid w:val="138428EF"/>
    <w:rsid w:val="13844D61"/>
    <w:rsid w:val="13857881"/>
    <w:rsid w:val="138B53E5"/>
    <w:rsid w:val="139101D6"/>
    <w:rsid w:val="139239D0"/>
    <w:rsid w:val="139452A9"/>
    <w:rsid w:val="13945618"/>
    <w:rsid w:val="13953C70"/>
    <w:rsid w:val="13965F16"/>
    <w:rsid w:val="139B3968"/>
    <w:rsid w:val="139D3931"/>
    <w:rsid w:val="13A05919"/>
    <w:rsid w:val="13B1212D"/>
    <w:rsid w:val="13BE4E67"/>
    <w:rsid w:val="13C504EB"/>
    <w:rsid w:val="13CA5222"/>
    <w:rsid w:val="13CA7B6C"/>
    <w:rsid w:val="13D139BA"/>
    <w:rsid w:val="13DE0894"/>
    <w:rsid w:val="13E1656D"/>
    <w:rsid w:val="13EA3848"/>
    <w:rsid w:val="13EC2DCB"/>
    <w:rsid w:val="13F34BAC"/>
    <w:rsid w:val="13F57642"/>
    <w:rsid w:val="13F72DDD"/>
    <w:rsid w:val="13FC61B5"/>
    <w:rsid w:val="13FC7658"/>
    <w:rsid w:val="13FD4513"/>
    <w:rsid w:val="140950AE"/>
    <w:rsid w:val="14136A35"/>
    <w:rsid w:val="14160B3F"/>
    <w:rsid w:val="14183A9C"/>
    <w:rsid w:val="141F305C"/>
    <w:rsid w:val="142179C9"/>
    <w:rsid w:val="1424253C"/>
    <w:rsid w:val="14261483"/>
    <w:rsid w:val="142B41EA"/>
    <w:rsid w:val="143E728D"/>
    <w:rsid w:val="1441310A"/>
    <w:rsid w:val="14432C1E"/>
    <w:rsid w:val="14466322"/>
    <w:rsid w:val="144871E3"/>
    <w:rsid w:val="144C6942"/>
    <w:rsid w:val="144F4A41"/>
    <w:rsid w:val="14607457"/>
    <w:rsid w:val="14654403"/>
    <w:rsid w:val="14671466"/>
    <w:rsid w:val="146A4AFD"/>
    <w:rsid w:val="146C259D"/>
    <w:rsid w:val="14736F01"/>
    <w:rsid w:val="147E4E1C"/>
    <w:rsid w:val="147E6F9D"/>
    <w:rsid w:val="14806331"/>
    <w:rsid w:val="148428DE"/>
    <w:rsid w:val="14843C02"/>
    <w:rsid w:val="1495538C"/>
    <w:rsid w:val="149712F5"/>
    <w:rsid w:val="149C4CA3"/>
    <w:rsid w:val="14A30D26"/>
    <w:rsid w:val="14A77752"/>
    <w:rsid w:val="14BA74A4"/>
    <w:rsid w:val="14C043A1"/>
    <w:rsid w:val="14C36CD2"/>
    <w:rsid w:val="14C91661"/>
    <w:rsid w:val="14D00DC6"/>
    <w:rsid w:val="14D1441D"/>
    <w:rsid w:val="14D64C58"/>
    <w:rsid w:val="14DA34B7"/>
    <w:rsid w:val="14DA5F59"/>
    <w:rsid w:val="14DE58BA"/>
    <w:rsid w:val="14DF4193"/>
    <w:rsid w:val="14EB640D"/>
    <w:rsid w:val="14EE2F81"/>
    <w:rsid w:val="14F329BB"/>
    <w:rsid w:val="14FA7F71"/>
    <w:rsid w:val="15063063"/>
    <w:rsid w:val="150D3A70"/>
    <w:rsid w:val="1510010D"/>
    <w:rsid w:val="15131873"/>
    <w:rsid w:val="151E3BC2"/>
    <w:rsid w:val="152B5B88"/>
    <w:rsid w:val="152F2DE8"/>
    <w:rsid w:val="15322A3F"/>
    <w:rsid w:val="153C7FD0"/>
    <w:rsid w:val="153F2BB6"/>
    <w:rsid w:val="154216FA"/>
    <w:rsid w:val="154274D0"/>
    <w:rsid w:val="154572D1"/>
    <w:rsid w:val="154B4D60"/>
    <w:rsid w:val="154D1D14"/>
    <w:rsid w:val="15501F36"/>
    <w:rsid w:val="15514352"/>
    <w:rsid w:val="155A5B12"/>
    <w:rsid w:val="15712816"/>
    <w:rsid w:val="157238C6"/>
    <w:rsid w:val="15744B5E"/>
    <w:rsid w:val="15795FE7"/>
    <w:rsid w:val="157A0988"/>
    <w:rsid w:val="157E1C1C"/>
    <w:rsid w:val="158660F1"/>
    <w:rsid w:val="15897F1C"/>
    <w:rsid w:val="158C0FA9"/>
    <w:rsid w:val="159217C9"/>
    <w:rsid w:val="15AC3C0A"/>
    <w:rsid w:val="15B02996"/>
    <w:rsid w:val="15B10F8C"/>
    <w:rsid w:val="15B8234E"/>
    <w:rsid w:val="15BC3976"/>
    <w:rsid w:val="15C07806"/>
    <w:rsid w:val="15C23711"/>
    <w:rsid w:val="15D5200C"/>
    <w:rsid w:val="15D72D69"/>
    <w:rsid w:val="15DA0777"/>
    <w:rsid w:val="15E22454"/>
    <w:rsid w:val="15ED20A1"/>
    <w:rsid w:val="15ED6C7B"/>
    <w:rsid w:val="15F63248"/>
    <w:rsid w:val="15F829AC"/>
    <w:rsid w:val="16070E41"/>
    <w:rsid w:val="160A008B"/>
    <w:rsid w:val="16161084"/>
    <w:rsid w:val="161B15D2"/>
    <w:rsid w:val="162D41DD"/>
    <w:rsid w:val="162F0EBF"/>
    <w:rsid w:val="16331E47"/>
    <w:rsid w:val="16336603"/>
    <w:rsid w:val="16360980"/>
    <w:rsid w:val="163A484E"/>
    <w:rsid w:val="163D5AB7"/>
    <w:rsid w:val="16412B09"/>
    <w:rsid w:val="16416964"/>
    <w:rsid w:val="16435085"/>
    <w:rsid w:val="164756E1"/>
    <w:rsid w:val="1647748F"/>
    <w:rsid w:val="16481B85"/>
    <w:rsid w:val="164B3423"/>
    <w:rsid w:val="164D0854"/>
    <w:rsid w:val="165C73DE"/>
    <w:rsid w:val="165E4F6A"/>
    <w:rsid w:val="16645AA8"/>
    <w:rsid w:val="1666025D"/>
    <w:rsid w:val="16660C32"/>
    <w:rsid w:val="166A7425"/>
    <w:rsid w:val="166D3A28"/>
    <w:rsid w:val="166E03DD"/>
    <w:rsid w:val="166E7E03"/>
    <w:rsid w:val="167148F9"/>
    <w:rsid w:val="1672566B"/>
    <w:rsid w:val="167F0452"/>
    <w:rsid w:val="168547BD"/>
    <w:rsid w:val="168C55D0"/>
    <w:rsid w:val="168E2687"/>
    <w:rsid w:val="16926055"/>
    <w:rsid w:val="16967306"/>
    <w:rsid w:val="16993BCE"/>
    <w:rsid w:val="169D2D63"/>
    <w:rsid w:val="16A15E2B"/>
    <w:rsid w:val="16A65D9E"/>
    <w:rsid w:val="16A830E3"/>
    <w:rsid w:val="16B07D79"/>
    <w:rsid w:val="16BA1D72"/>
    <w:rsid w:val="16C10653"/>
    <w:rsid w:val="16C418B2"/>
    <w:rsid w:val="16CC2E3A"/>
    <w:rsid w:val="16CC6461"/>
    <w:rsid w:val="16CE6579"/>
    <w:rsid w:val="16D03829"/>
    <w:rsid w:val="16E9013C"/>
    <w:rsid w:val="16F81CBA"/>
    <w:rsid w:val="17026CD9"/>
    <w:rsid w:val="17033FAE"/>
    <w:rsid w:val="17046AD2"/>
    <w:rsid w:val="170D30DC"/>
    <w:rsid w:val="171C2FA9"/>
    <w:rsid w:val="171F5D08"/>
    <w:rsid w:val="171F7311"/>
    <w:rsid w:val="17214CA8"/>
    <w:rsid w:val="17265D1B"/>
    <w:rsid w:val="172660B4"/>
    <w:rsid w:val="172B4E7D"/>
    <w:rsid w:val="173C4B1A"/>
    <w:rsid w:val="173E3C46"/>
    <w:rsid w:val="174815BB"/>
    <w:rsid w:val="174F6715"/>
    <w:rsid w:val="1752704A"/>
    <w:rsid w:val="1755730C"/>
    <w:rsid w:val="1759260B"/>
    <w:rsid w:val="17625163"/>
    <w:rsid w:val="17660961"/>
    <w:rsid w:val="176B541A"/>
    <w:rsid w:val="17746694"/>
    <w:rsid w:val="17753FFB"/>
    <w:rsid w:val="177644D0"/>
    <w:rsid w:val="177A5618"/>
    <w:rsid w:val="177B5642"/>
    <w:rsid w:val="177D2FF1"/>
    <w:rsid w:val="177D7B6E"/>
    <w:rsid w:val="178169D1"/>
    <w:rsid w:val="178A3AD0"/>
    <w:rsid w:val="179045A5"/>
    <w:rsid w:val="179F36F6"/>
    <w:rsid w:val="17A8370C"/>
    <w:rsid w:val="17AC16B4"/>
    <w:rsid w:val="17B172B6"/>
    <w:rsid w:val="17B374D2"/>
    <w:rsid w:val="17BD5DC4"/>
    <w:rsid w:val="17C16C32"/>
    <w:rsid w:val="17CF1B17"/>
    <w:rsid w:val="17D370E7"/>
    <w:rsid w:val="17D42FA4"/>
    <w:rsid w:val="17D80CE7"/>
    <w:rsid w:val="17DD7851"/>
    <w:rsid w:val="17E276B2"/>
    <w:rsid w:val="17E87227"/>
    <w:rsid w:val="17EB414F"/>
    <w:rsid w:val="17EB575E"/>
    <w:rsid w:val="17ED2B65"/>
    <w:rsid w:val="17F53C8C"/>
    <w:rsid w:val="17FA625E"/>
    <w:rsid w:val="17FF0EBF"/>
    <w:rsid w:val="18003C3F"/>
    <w:rsid w:val="180204D8"/>
    <w:rsid w:val="18022F21"/>
    <w:rsid w:val="180B5979"/>
    <w:rsid w:val="1810089F"/>
    <w:rsid w:val="181770F7"/>
    <w:rsid w:val="181A4B07"/>
    <w:rsid w:val="181A4F05"/>
    <w:rsid w:val="18253800"/>
    <w:rsid w:val="182A472E"/>
    <w:rsid w:val="182B350C"/>
    <w:rsid w:val="18453FA2"/>
    <w:rsid w:val="18470D8D"/>
    <w:rsid w:val="18471070"/>
    <w:rsid w:val="18476199"/>
    <w:rsid w:val="18482670"/>
    <w:rsid w:val="18484DAD"/>
    <w:rsid w:val="1850586B"/>
    <w:rsid w:val="18573AA4"/>
    <w:rsid w:val="18583B34"/>
    <w:rsid w:val="185C310C"/>
    <w:rsid w:val="18650817"/>
    <w:rsid w:val="18702CCD"/>
    <w:rsid w:val="18736BF5"/>
    <w:rsid w:val="187414B9"/>
    <w:rsid w:val="1878418A"/>
    <w:rsid w:val="187D4521"/>
    <w:rsid w:val="187F3003"/>
    <w:rsid w:val="18834E07"/>
    <w:rsid w:val="18883358"/>
    <w:rsid w:val="188A771D"/>
    <w:rsid w:val="18906282"/>
    <w:rsid w:val="18924C89"/>
    <w:rsid w:val="189478C5"/>
    <w:rsid w:val="189A5F9C"/>
    <w:rsid w:val="189A7F8A"/>
    <w:rsid w:val="18A2194E"/>
    <w:rsid w:val="18A848F2"/>
    <w:rsid w:val="18B825B2"/>
    <w:rsid w:val="18BA663E"/>
    <w:rsid w:val="18C65CAF"/>
    <w:rsid w:val="18CB6040"/>
    <w:rsid w:val="18CE3E98"/>
    <w:rsid w:val="18D34E46"/>
    <w:rsid w:val="18D8401B"/>
    <w:rsid w:val="18E02DE8"/>
    <w:rsid w:val="18E2216F"/>
    <w:rsid w:val="18E81F8D"/>
    <w:rsid w:val="18EC60D3"/>
    <w:rsid w:val="18ED0CEF"/>
    <w:rsid w:val="18F9095D"/>
    <w:rsid w:val="18F97E9F"/>
    <w:rsid w:val="18FC2E00"/>
    <w:rsid w:val="18FD2307"/>
    <w:rsid w:val="1906774D"/>
    <w:rsid w:val="1909330A"/>
    <w:rsid w:val="190F77D8"/>
    <w:rsid w:val="19107763"/>
    <w:rsid w:val="1913533B"/>
    <w:rsid w:val="19146D72"/>
    <w:rsid w:val="19187614"/>
    <w:rsid w:val="191B4A53"/>
    <w:rsid w:val="19220B69"/>
    <w:rsid w:val="192F70D4"/>
    <w:rsid w:val="1937686E"/>
    <w:rsid w:val="193B07DE"/>
    <w:rsid w:val="1944372E"/>
    <w:rsid w:val="194F4FD8"/>
    <w:rsid w:val="19540841"/>
    <w:rsid w:val="195730E2"/>
    <w:rsid w:val="195E7810"/>
    <w:rsid w:val="19776A3E"/>
    <w:rsid w:val="197C097C"/>
    <w:rsid w:val="197E141A"/>
    <w:rsid w:val="19837A70"/>
    <w:rsid w:val="198E010C"/>
    <w:rsid w:val="19950671"/>
    <w:rsid w:val="1996602E"/>
    <w:rsid w:val="199B1337"/>
    <w:rsid w:val="19AD022F"/>
    <w:rsid w:val="19B72A15"/>
    <w:rsid w:val="19B94B48"/>
    <w:rsid w:val="19BA510D"/>
    <w:rsid w:val="19BE5D1E"/>
    <w:rsid w:val="19BE7BC0"/>
    <w:rsid w:val="19C631FB"/>
    <w:rsid w:val="19D2486C"/>
    <w:rsid w:val="19D66A55"/>
    <w:rsid w:val="19D722D6"/>
    <w:rsid w:val="19D92AF4"/>
    <w:rsid w:val="19DE5A4A"/>
    <w:rsid w:val="19DF2F1F"/>
    <w:rsid w:val="19E13236"/>
    <w:rsid w:val="19ED5BE4"/>
    <w:rsid w:val="19F4792E"/>
    <w:rsid w:val="19F636A6"/>
    <w:rsid w:val="19FA0B9B"/>
    <w:rsid w:val="19FA7AA6"/>
    <w:rsid w:val="19FC3F9F"/>
    <w:rsid w:val="19FE71F5"/>
    <w:rsid w:val="1A061AD2"/>
    <w:rsid w:val="1A07266F"/>
    <w:rsid w:val="1A0E7FA8"/>
    <w:rsid w:val="1A1802B3"/>
    <w:rsid w:val="1A183E66"/>
    <w:rsid w:val="1A1A29CD"/>
    <w:rsid w:val="1A1C03CD"/>
    <w:rsid w:val="1A214464"/>
    <w:rsid w:val="1A314972"/>
    <w:rsid w:val="1A3348FA"/>
    <w:rsid w:val="1A367F46"/>
    <w:rsid w:val="1A431B3F"/>
    <w:rsid w:val="1A4A0776"/>
    <w:rsid w:val="1A550F81"/>
    <w:rsid w:val="1A5D40D6"/>
    <w:rsid w:val="1A6365D0"/>
    <w:rsid w:val="1A644A72"/>
    <w:rsid w:val="1A6F6F8A"/>
    <w:rsid w:val="1A7F6485"/>
    <w:rsid w:val="1A89232E"/>
    <w:rsid w:val="1A8A09AE"/>
    <w:rsid w:val="1A962FE3"/>
    <w:rsid w:val="1A9A098D"/>
    <w:rsid w:val="1A9C1CCC"/>
    <w:rsid w:val="1A9D1D74"/>
    <w:rsid w:val="1A9F1DE1"/>
    <w:rsid w:val="1AA312D9"/>
    <w:rsid w:val="1AA57877"/>
    <w:rsid w:val="1AA749A0"/>
    <w:rsid w:val="1AA9611B"/>
    <w:rsid w:val="1AAB6A61"/>
    <w:rsid w:val="1AB26828"/>
    <w:rsid w:val="1AC73B91"/>
    <w:rsid w:val="1AD10244"/>
    <w:rsid w:val="1AE87493"/>
    <w:rsid w:val="1B037D14"/>
    <w:rsid w:val="1B062A23"/>
    <w:rsid w:val="1B081624"/>
    <w:rsid w:val="1B0C3CD2"/>
    <w:rsid w:val="1B0D080F"/>
    <w:rsid w:val="1B1A225F"/>
    <w:rsid w:val="1B1F621E"/>
    <w:rsid w:val="1B256F74"/>
    <w:rsid w:val="1B2A1AA3"/>
    <w:rsid w:val="1B324557"/>
    <w:rsid w:val="1B326960"/>
    <w:rsid w:val="1B332E1C"/>
    <w:rsid w:val="1B353873"/>
    <w:rsid w:val="1B3D01A9"/>
    <w:rsid w:val="1B405F9B"/>
    <w:rsid w:val="1B435E91"/>
    <w:rsid w:val="1B4959F8"/>
    <w:rsid w:val="1B4D592A"/>
    <w:rsid w:val="1B4E43CF"/>
    <w:rsid w:val="1B4F6DA7"/>
    <w:rsid w:val="1B5271A2"/>
    <w:rsid w:val="1B5638FD"/>
    <w:rsid w:val="1B5B4119"/>
    <w:rsid w:val="1B5B55D4"/>
    <w:rsid w:val="1B601B29"/>
    <w:rsid w:val="1B6162F1"/>
    <w:rsid w:val="1B630EA8"/>
    <w:rsid w:val="1B6A1D14"/>
    <w:rsid w:val="1B733D52"/>
    <w:rsid w:val="1B7425D8"/>
    <w:rsid w:val="1B7549B2"/>
    <w:rsid w:val="1B81160E"/>
    <w:rsid w:val="1B8A3788"/>
    <w:rsid w:val="1B8A679C"/>
    <w:rsid w:val="1B931AB9"/>
    <w:rsid w:val="1B937330"/>
    <w:rsid w:val="1B96505E"/>
    <w:rsid w:val="1B976B3A"/>
    <w:rsid w:val="1BA031E5"/>
    <w:rsid w:val="1BA732A9"/>
    <w:rsid w:val="1BA95943"/>
    <w:rsid w:val="1BAD45AB"/>
    <w:rsid w:val="1BAE02CE"/>
    <w:rsid w:val="1BAF693A"/>
    <w:rsid w:val="1BB15385"/>
    <w:rsid w:val="1BC81072"/>
    <w:rsid w:val="1BC87B1E"/>
    <w:rsid w:val="1BD22DBF"/>
    <w:rsid w:val="1BDE30C0"/>
    <w:rsid w:val="1BDE4937"/>
    <w:rsid w:val="1BEA54C6"/>
    <w:rsid w:val="1BEC2FB3"/>
    <w:rsid w:val="1BED20B6"/>
    <w:rsid w:val="1BF116F6"/>
    <w:rsid w:val="1BFF6C20"/>
    <w:rsid w:val="1C0C1291"/>
    <w:rsid w:val="1C0E57D8"/>
    <w:rsid w:val="1C0F0A4F"/>
    <w:rsid w:val="1C0F0B13"/>
    <w:rsid w:val="1C0F4EF3"/>
    <w:rsid w:val="1C127DFB"/>
    <w:rsid w:val="1C161E4F"/>
    <w:rsid w:val="1C1E3330"/>
    <w:rsid w:val="1C2625B6"/>
    <w:rsid w:val="1C282CE9"/>
    <w:rsid w:val="1C383D1B"/>
    <w:rsid w:val="1C3861F8"/>
    <w:rsid w:val="1C3C1C56"/>
    <w:rsid w:val="1C3E42A8"/>
    <w:rsid w:val="1C4C3A51"/>
    <w:rsid w:val="1C592CE1"/>
    <w:rsid w:val="1C5A17EE"/>
    <w:rsid w:val="1C5B7DCF"/>
    <w:rsid w:val="1C5C4FCE"/>
    <w:rsid w:val="1C5D6182"/>
    <w:rsid w:val="1C6243AA"/>
    <w:rsid w:val="1C6345E4"/>
    <w:rsid w:val="1C6526CA"/>
    <w:rsid w:val="1C680628"/>
    <w:rsid w:val="1C6A57B9"/>
    <w:rsid w:val="1C6D62B3"/>
    <w:rsid w:val="1C7635B1"/>
    <w:rsid w:val="1C7B4336"/>
    <w:rsid w:val="1C7C7E49"/>
    <w:rsid w:val="1C804AA5"/>
    <w:rsid w:val="1C854923"/>
    <w:rsid w:val="1C892F95"/>
    <w:rsid w:val="1C927441"/>
    <w:rsid w:val="1C9D42AD"/>
    <w:rsid w:val="1C9F3515"/>
    <w:rsid w:val="1C9F56BA"/>
    <w:rsid w:val="1CA46C7B"/>
    <w:rsid w:val="1CAC2DA9"/>
    <w:rsid w:val="1CAE756B"/>
    <w:rsid w:val="1CB20DFD"/>
    <w:rsid w:val="1CB33AD0"/>
    <w:rsid w:val="1CB83090"/>
    <w:rsid w:val="1CB86E7F"/>
    <w:rsid w:val="1CC14415"/>
    <w:rsid w:val="1CC5615A"/>
    <w:rsid w:val="1CC66440"/>
    <w:rsid w:val="1CC678AE"/>
    <w:rsid w:val="1CCB1829"/>
    <w:rsid w:val="1CCB509B"/>
    <w:rsid w:val="1CCB6789"/>
    <w:rsid w:val="1CD0664F"/>
    <w:rsid w:val="1CDF6BC6"/>
    <w:rsid w:val="1CE42AAD"/>
    <w:rsid w:val="1CE60064"/>
    <w:rsid w:val="1CF45E8A"/>
    <w:rsid w:val="1CFB6113"/>
    <w:rsid w:val="1D025941"/>
    <w:rsid w:val="1D062086"/>
    <w:rsid w:val="1D0A53F4"/>
    <w:rsid w:val="1D0B56D0"/>
    <w:rsid w:val="1D142F77"/>
    <w:rsid w:val="1D1626A5"/>
    <w:rsid w:val="1D167051"/>
    <w:rsid w:val="1D1A571B"/>
    <w:rsid w:val="1D232A04"/>
    <w:rsid w:val="1D294B4F"/>
    <w:rsid w:val="1D2E1015"/>
    <w:rsid w:val="1D3228D6"/>
    <w:rsid w:val="1D352509"/>
    <w:rsid w:val="1D352737"/>
    <w:rsid w:val="1D352C16"/>
    <w:rsid w:val="1D370288"/>
    <w:rsid w:val="1D425DEC"/>
    <w:rsid w:val="1D484D07"/>
    <w:rsid w:val="1D4A49DD"/>
    <w:rsid w:val="1D4E3A63"/>
    <w:rsid w:val="1D525097"/>
    <w:rsid w:val="1D563CF7"/>
    <w:rsid w:val="1D5E1C8E"/>
    <w:rsid w:val="1D645CF1"/>
    <w:rsid w:val="1D65526E"/>
    <w:rsid w:val="1D810573"/>
    <w:rsid w:val="1D8130CB"/>
    <w:rsid w:val="1D821627"/>
    <w:rsid w:val="1D856926"/>
    <w:rsid w:val="1D886A63"/>
    <w:rsid w:val="1D8D4321"/>
    <w:rsid w:val="1D9B6D16"/>
    <w:rsid w:val="1D9C14C2"/>
    <w:rsid w:val="1D9F13DE"/>
    <w:rsid w:val="1DA07EEC"/>
    <w:rsid w:val="1DA4645A"/>
    <w:rsid w:val="1DA67D1D"/>
    <w:rsid w:val="1DA87BD7"/>
    <w:rsid w:val="1DBA29AF"/>
    <w:rsid w:val="1DC349FE"/>
    <w:rsid w:val="1DD400E8"/>
    <w:rsid w:val="1DDC2CA9"/>
    <w:rsid w:val="1DE026A3"/>
    <w:rsid w:val="1DE11FD3"/>
    <w:rsid w:val="1DE87E3F"/>
    <w:rsid w:val="1DEA130F"/>
    <w:rsid w:val="1DF0665E"/>
    <w:rsid w:val="1DFE7976"/>
    <w:rsid w:val="1E080FD1"/>
    <w:rsid w:val="1E0A5972"/>
    <w:rsid w:val="1E114F52"/>
    <w:rsid w:val="1E1B36DB"/>
    <w:rsid w:val="1E1D22C6"/>
    <w:rsid w:val="1E240C8A"/>
    <w:rsid w:val="1E266F24"/>
    <w:rsid w:val="1E29099C"/>
    <w:rsid w:val="1E2A1B70"/>
    <w:rsid w:val="1E300499"/>
    <w:rsid w:val="1E333EB8"/>
    <w:rsid w:val="1E3677E3"/>
    <w:rsid w:val="1E3D5B6E"/>
    <w:rsid w:val="1E3F5200"/>
    <w:rsid w:val="1E436149"/>
    <w:rsid w:val="1E4471E7"/>
    <w:rsid w:val="1E48047D"/>
    <w:rsid w:val="1E4D6FBF"/>
    <w:rsid w:val="1E5A7FA8"/>
    <w:rsid w:val="1E6257AE"/>
    <w:rsid w:val="1E6C09A3"/>
    <w:rsid w:val="1E71154D"/>
    <w:rsid w:val="1E717F98"/>
    <w:rsid w:val="1E761259"/>
    <w:rsid w:val="1E815DBB"/>
    <w:rsid w:val="1E83479A"/>
    <w:rsid w:val="1E8804D8"/>
    <w:rsid w:val="1E8E0642"/>
    <w:rsid w:val="1E925F96"/>
    <w:rsid w:val="1E9D4987"/>
    <w:rsid w:val="1EA23DFC"/>
    <w:rsid w:val="1EA50D60"/>
    <w:rsid w:val="1EBC676C"/>
    <w:rsid w:val="1EC0103A"/>
    <w:rsid w:val="1EC32CDA"/>
    <w:rsid w:val="1EC72EE5"/>
    <w:rsid w:val="1ECC2C72"/>
    <w:rsid w:val="1EDB4B01"/>
    <w:rsid w:val="1EE272D0"/>
    <w:rsid w:val="1EE81213"/>
    <w:rsid w:val="1EF5217E"/>
    <w:rsid w:val="1EFA7794"/>
    <w:rsid w:val="1EFB0B40"/>
    <w:rsid w:val="1F046890"/>
    <w:rsid w:val="1F072CFE"/>
    <w:rsid w:val="1F127A0E"/>
    <w:rsid w:val="1F224F05"/>
    <w:rsid w:val="1F236499"/>
    <w:rsid w:val="1F271F5F"/>
    <w:rsid w:val="1F2A0E7F"/>
    <w:rsid w:val="1F2A6BB4"/>
    <w:rsid w:val="1F302A35"/>
    <w:rsid w:val="1F38206B"/>
    <w:rsid w:val="1F413615"/>
    <w:rsid w:val="1F476DCD"/>
    <w:rsid w:val="1F4E669B"/>
    <w:rsid w:val="1F4F73FB"/>
    <w:rsid w:val="1F5423E8"/>
    <w:rsid w:val="1F572E39"/>
    <w:rsid w:val="1F5B5378"/>
    <w:rsid w:val="1F6115C2"/>
    <w:rsid w:val="1F695DA7"/>
    <w:rsid w:val="1F6C0749"/>
    <w:rsid w:val="1F6F41FC"/>
    <w:rsid w:val="1F731FB3"/>
    <w:rsid w:val="1F783D0C"/>
    <w:rsid w:val="1F7861FA"/>
    <w:rsid w:val="1F7C4154"/>
    <w:rsid w:val="1F8300C0"/>
    <w:rsid w:val="1F880C31"/>
    <w:rsid w:val="1F895E85"/>
    <w:rsid w:val="1F944652"/>
    <w:rsid w:val="1F9D6372"/>
    <w:rsid w:val="1FA01552"/>
    <w:rsid w:val="1FA92F69"/>
    <w:rsid w:val="1FB26F25"/>
    <w:rsid w:val="1FBC2F75"/>
    <w:rsid w:val="1FD4207D"/>
    <w:rsid w:val="1FDA378A"/>
    <w:rsid w:val="1FDE70B6"/>
    <w:rsid w:val="1FE62100"/>
    <w:rsid w:val="1FE83A91"/>
    <w:rsid w:val="1FF04C67"/>
    <w:rsid w:val="1FF266BE"/>
    <w:rsid w:val="1FF876C7"/>
    <w:rsid w:val="1FFB37C4"/>
    <w:rsid w:val="1FFF782E"/>
    <w:rsid w:val="200D2C05"/>
    <w:rsid w:val="20104D96"/>
    <w:rsid w:val="20106F09"/>
    <w:rsid w:val="20144596"/>
    <w:rsid w:val="2016188F"/>
    <w:rsid w:val="201B2F0A"/>
    <w:rsid w:val="202132A9"/>
    <w:rsid w:val="20226E31"/>
    <w:rsid w:val="20286583"/>
    <w:rsid w:val="202B75E1"/>
    <w:rsid w:val="20315438"/>
    <w:rsid w:val="20365B72"/>
    <w:rsid w:val="203701CD"/>
    <w:rsid w:val="203D3E21"/>
    <w:rsid w:val="204F4253"/>
    <w:rsid w:val="206541E4"/>
    <w:rsid w:val="207136E0"/>
    <w:rsid w:val="2074766C"/>
    <w:rsid w:val="207637D6"/>
    <w:rsid w:val="207D7F78"/>
    <w:rsid w:val="20855D58"/>
    <w:rsid w:val="208C42F1"/>
    <w:rsid w:val="209634ED"/>
    <w:rsid w:val="2099122F"/>
    <w:rsid w:val="209941E7"/>
    <w:rsid w:val="209B0B03"/>
    <w:rsid w:val="209F554F"/>
    <w:rsid w:val="20A00E15"/>
    <w:rsid w:val="20A25069"/>
    <w:rsid w:val="20A43125"/>
    <w:rsid w:val="20A55612"/>
    <w:rsid w:val="20B424C1"/>
    <w:rsid w:val="20B56069"/>
    <w:rsid w:val="20C77B4A"/>
    <w:rsid w:val="20C8580B"/>
    <w:rsid w:val="20D327D1"/>
    <w:rsid w:val="20D5496A"/>
    <w:rsid w:val="20DB2A9F"/>
    <w:rsid w:val="20E6524B"/>
    <w:rsid w:val="20F60328"/>
    <w:rsid w:val="20FA3F1B"/>
    <w:rsid w:val="20FE1F62"/>
    <w:rsid w:val="210074FC"/>
    <w:rsid w:val="21084CBB"/>
    <w:rsid w:val="211626D7"/>
    <w:rsid w:val="21211D40"/>
    <w:rsid w:val="2121273E"/>
    <w:rsid w:val="21293082"/>
    <w:rsid w:val="212B489C"/>
    <w:rsid w:val="212D4958"/>
    <w:rsid w:val="212E123B"/>
    <w:rsid w:val="212E4B43"/>
    <w:rsid w:val="21336F8E"/>
    <w:rsid w:val="2136177F"/>
    <w:rsid w:val="21381B43"/>
    <w:rsid w:val="21394216"/>
    <w:rsid w:val="213F0B36"/>
    <w:rsid w:val="213F3B84"/>
    <w:rsid w:val="21457191"/>
    <w:rsid w:val="214A0DAF"/>
    <w:rsid w:val="21507F64"/>
    <w:rsid w:val="21557B13"/>
    <w:rsid w:val="21665AC2"/>
    <w:rsid w:val="216F7324"/>
    <w:rsid w:val="21701F90"/>
    <w:rsid w:val="21717803"/>
    <w:rsid w:val="21730A39"/>
    <w:rsid w:val="21731A80"/>
    <w:rsid w:val="21731D77"/>
    <w:rsid w:val="21737E7A"/>
    <w:rsid w:val="21762B1E"/>
    <w:rsid w:val="21775C66"/>
    <w:rsid w:val="21804905"/>
    <w:rsid w:val="21810265"/>
    <w:rsid w:val="218179A3"/>
    <w:rsid w:val="21976CA7"/>
    <w:rsid w:val="219A1DAE"/>
    <w:rsid w:val="219C6FB4"/>
    <w:rsid w:val="219F24C9"/>
    <w:rsid w:val="21AB05E7"/>
    <w:rsid w:val="21BA76AF"/>
    <w:rsid w:val="21CA0FD6"/>
    <w:rsid w:val="21D03DEF"/>
    <w:rsid w:val="21D05692"/>
    <w:rsid w:val="21D62979"/>
    <w:rsid w:val="21DA38AD"/>
    <w:rsid w:val="21DC6CE9"/>
    <w:rsid w:val="21DE3DDC"/>
    <w:rsid w:val="21DF4334"/>
    <w:rsid w:val="21E40288"/>
    <w:rsid w:val="21EB2612"/>
    <w:rsid w:val="21ED3885"/>
    <w:rsid w:val="21EE1107"/>
    <w:rsid w:val="21F0239B"/>
    <w:rsid w:val="21F229A5"/>
    <w:rsid w:val="21FA48EA"/>
    <w:rsid w:val="21FE0C1F"/>
    <w:rsid w:val="220C6EBB"/>
    <w:rsid w:val="220E1BFA"/>
    <w:rsid w:val="2212046C"/>
    <w:rsid w:val="22124DF5"/>
    <w:rsid w:val="2218416C"/>
    <w:rsid w:val="221B1A47"/>
    <w:rsid w:val="221D322C"/>
    <w:rsid w:val="22235D98"/>
    <w:rsid w:val="222F391A"/>
    <w:rsid w:val="222F672F"/>
    <w:rsid w:val="22372339"/>
    <w:rsid w:val="223B259E"/>
    <w:rsid w:val="22450D31"/>
    <w:rsid w:val="22484C90"/>
    <w:rsid w:val="2254132E"/>
    <w:rsid w:val="225B1B9C"/>
    <w:rsid w:val="225D2415"/>
    <w:rsid w:val="22633F0C"/>
    <w:rsid w:val="226C5EC4"/>
    <w:rsid w:val="226F3B3F"/>
    <w:rsid w:val="22765384"/>
    <w:rsid w:val="227A4814"/>
    <w:rsid w:val="227F57B2"/>
    <w:rsid w:val="22806203"/>
    <w:rsid w:val="22875CBA"/>
    <w:rsid w:val="228C2B91"/>
    <w:rsid w:val="22921528"/>
    <w:rsid w:val="229A720E"/>
    <w:rsid w:val="229B70C4"/>
    <w:rsid w:val="229D7F03"/>
    <w:rsid w:val="22A605B3"/>
    <w:rsid w:val="22B8599C"/>
    <w:rsid w:val="22BD2FB3"/>
    <w:rsid w:val="22C80FA5"/>
    <w:rsid w:val="22CC3E78"/>
    <w:rsid w:val="22CF49D4"/>
    <w:rsid w:val="22D22BE0"/>
    <w:rsid w:val="22D673ED"/>
    <w:rsid w:val="22D941FA"/>
    <w:rsid w:val="22DC189D"/>
    <w:rsid w:val="22DF795A"/>
    <w:rsid w:val="22E02611"/>
    <w:rsid w:val="22E0544E"/>
    <w:rsid w:val="22E120A1"/>
    <w:rsid w:val="22E34375"/>
    <w:rsid w:val="22ED758C"/>
    <w:rsid w:val="22F20223"/>
    <w:rsid w:val="22F25887"/>
    <w:rsid w:val="22F34E18"/>
    <w:rsid w:val="22F50FEA"/>
    <w:rsid w:val="22F73D57"/>
    <w:rsid w:val="23016FB8"/>
    <w:rsid w:val="23027307"/>
    <w:rsid w:val="230476CA"/>
    <w:rsid w:val="23126E61"/>
    <w:rsid w:val="231300C5"/>
    <w:rsid w:val="2314215A"/>
    <w:rsid w:val="23156195"/>
    <w:rsid w:val="23186EA3"/>
    <w:rsid w:val="231921B3"/>
    <w:rsid w:val="231E5F83"/>
    <w:rsid w:val="23203F56"/>
    <w:rsid w:val="232223D5"/>
    <w:rsid w:val="2322550C"/>
    <w:rsid w:val="23236A14"/>
    <w:rsid w:val="232438AE"/>
    <w:rsid w:val="23250F50"/>
    <w:rsid w:val="23256DAA"/>
    <w:rsid w:val="23265A1D"/>
    <w:rsid w:val="23374CDB"/>
    <w:rsid w:val="233A4603"/>
    <w:rsid w:val="23485BBC"/>
    <w:rsid w:val="23512360"/>
    <w:rsid w:val="23520499"/>
    <w:rsid w:val="23557D9C"/>
    <w:rsid w:val="23576CCD"/>
    <w:rsid w:val="23654AAF"/>
    <w:rsid w:val="236D3645"/>
    <w:rsid w:val="236D3EA7"/>
    <w:rsid w:val="2370471F"/>
    <w:rsid w:val="23744391"/>
    <w:rsid w:val="23774D67"/>
    <w:rsid w:val="237A0EA4"/>
    <w:rsid w:val="237C42E3"/>
    <w:rsid w:val="23817563"/>
    <w:rsid w:val="238B30B1"/>
    <w:rsid w:val="238F5D78"/>
    <w:rsid w:val="239A363F"/>
    <w:rsid w:val="23A24568"/>
    <w:rsid w:val="23A77C39"/>
    <w:rsid w:val="23AD2354"/>
    <w:rsid w:val="23AD69C4"/>
    <w:rsid w:val="23B54EEB"/>
    <w:rsid w:val="23BC7948"/>
    <w:rsid w:val="23BE087A"/>
    <w:rsid w:val="23C4602C"/>
    <w:rsid w:val="23C8191A"/>
    <w:rsid w:val="23C97683"/>
    <w:rsid w:val="23CD1972"/>
    <w:rsid w:val="23D14835"/>
    <w:rsid w:val="23D15683"/>
    <w:rsid w:val="23D4353D"/>
    <w:rsid w:val="23D46119"/>
    <w:rsid w:val="23D675AC"/>
    <w:rsid w:val="23D700A4"/>
    <w:rsid w:val="23DD62B5"/>
    <w:rsid w:val="23E339B4"/>
    <w:rsid w:val="23EA648E"/>
    <w:rsid w:val="23EE4934"/>
    <w:rsid w:val="23F15C9E"/>
    <w:rsid w:val="23F61966"/>
    <w:rsid w:val="23F92B48"/>
    <w:rsid w:val="24013D9F"/>
    <w:rsid w:val="240A536B"/>
    <w:rsid w:val="24136B0F"/>
    <w:rsid w:val="2418246B"/>
    <w:rsid w:val="241C7760"/>
    <w:rsid w:val="2420497B"/>
    <w:rsid w:val="24234DE2"/>
    <w:rsid w:val="242A0DBE"/>
    <w:rsid w:val="242D5F16"/>
    <w:rsid w:val="242F7053"/>
    <w:rsid w:val="24331CB6"/>
    <w:rsid w:val="24356B32"/>
    <w:rsid w:val="24422EB4"/>
    <w:rsid w:val="24506D9E"/>
    <w:rsid w:val="24651B54"/>
    <w:rsid w:val="246A5A0A"/>
    <w:rsid w:val="246B0306"/>
    <w:rsid w:val="2480698E"/>
    <w:rsid w:val="24846305"/>
    <w:rsid w:val="248A3369"/>
    <w:rsid w:val="24915A04"/>
    <w:rsid w:val="2497396D"/>
    <w:rsid w:val="24A40901"/>
    <w:rsid w:val="24A63501"/>
    <w:rsid w:val="24AC4A1F"/>
    <w:rsid w:val="24AE7A42"/>
    <w:rsid w:val="24BB0061"/>
    <w:rsid w:val="24BD373E"/>
    <w:rsid w:val="24C52DC9"/>
    <w:rsid w:val="24C66798"/>
    <w:rsid w:val="24D4523C"/>
    <w:rsid w:val="24D871D0"/>
    <w:rsid w:val="24E52C95"/>
    <w:rsid w:val="24E6502C"/>
    <w:rsid w:val="24EB03AD"/>
    <w:rsid w:val="24ED050B"/>
    <w:rsid w:val="24ED56A6"/>
    <w:rsid w:val="24F339A6"/>
    <w:rsid w:val="24F5112A"/>
    <w:rsid w:val="24F56AD9"/>
    <w:rsid w:val="24FB513D"/>
    <w:rsid w:val="24FC2782"/>
    <w:rsid w:val="24FD209A"/>
    <w:rsid w:val="250343C7"/>
    <w:rsid w:val="25070E5D"/>
    <w:rsid w:val="251066FD"/>
    <w:rsid w:val="251F1FBE"/>
    <w:rsid w:val="25203CCD"/>
    <w:rsid w:val="25227A45"/>
    <w:rsid w:val="25290DD3"/>
    <w:rsid w:val="252E15B9"/>
    <w:rsid w:val="253A353C"/>
    <w:rsid w:val="254124A3"/>
    <w:rsid w:val="25465D00"/>
    <w:rsid w:val="254F466D"/>
    <w:rsid w:val="25503991"/>
    <w:rsid w:val="25522857"/>
    <w:rsid w:val="2569127F"/>
    <w:rsid w:val="25695674"/>
    <w:rsid w:val="256C78F3"/>
    <w:rsid w:val="2572364F"/>
    <w:rsid w:val="25786EDE"/>
    <w:rsid w:val="25791F53"/>
    <w:rsid w:val="258E221E"/>
    <w:rsid w:val="25963399"/>
    <w:rsid w:val="259D3570"/>
    <w:rsid w:val="25A33C5F"/>
    <w:rsid w:val="25AC515C"/>
    <w:rsid w:val="25AE0E01"/>
    <w:rsid w:val="25AF2D48"/>
    <w:rsid w:val="25B82157"/>
    <w:rsid w:val="25B86981"/>
    <w:rsid w:val="25C44D40"/>
    <w:rsid w:val="25C7239A"/>
    <w:rsid w:val="25C8226E"/>
    <w:rsid w:val="25CE1D69"/>
    <w:rsid w:val="25E020CF"/>
    <w:rsid w:val="25E56972"/>
    <w:rsid w:val="25E609D5"/>
    <w:rsid w:val="25E6234A"/>
    <w:rsid w:val="25E86259"/>
    <w:rsid w:val="25F158A1"/>
    <w:rsid w:val="25FF62CF"/>
    <w:rsid w:val="2601765A"/>
    <w:rsid w:val="260809E9"/>
    <w:rsid w:val="260B51A1"/>
    <w:rsid w:val="260B60B5"/>
    <w:rsid w:val="260E082D"/>
    <w:rsid w:val="260F5B76"/>
    <w:rsid w:val="2610789E"/>
    <w:rsid w:val="261916AB"/>
    <w:rsid w:val="261A696E"/>
    <w:rsid w:val="26432B11"/>
    <w:rsid w:val="26466BD3"/>
    <w:rsid w:val="26501A11"/>
    <w:rsid w:val="26541FB2"/>
    <w:rsid w:val="26563274"/>
    <w:rsid w:val="2668592C"/>
    <w:rsid w:val="266879CF"/>
    <w:rsid w:val="266B2179"/>
    <w:rsid w:val="26764A7D"/>
    <w:rsid w:val="26791919"/>
    <w:rsid w:val="267B3EA4"/>
    <w:rsid w:val="267D4610"/>
    <w:rsid w:val="268E2694"/>
    <w:rsid w:val="268F59A4"/>
    <w:rsid w:val="269362E9"/>
    <w:rsid w:val="269376BE"/>
    <w:rsid w:val="269660A8"/>
    <w:rsid w:val="26983C72"/>
    <w:rsid w:val="26A17BEA"/>
    <w:rsid w:val="26A368D9"/>
    <w:rsid w:val="26A37D73"/>
    <w:rsid w:val="26A75109"/>
    <w:rsid w:val="26AA22A8"/>
    <w:rsid w:val="26C64595"/>
    <w:rsid w:val="26C863CA"/>
    <w:rsid w:val="26D94133"/>
    <w:rsid w:val="26E942BA"/>
    <w:rsid w:val="26E968CF"/>
    <w:rsid w:val="26F037C9"/>
    <w:rsid w:val="26F06CBC"/>
    <w:rsid w:val="26F617EE"/>
    <w:rsid w:val="26F63BA5"/>
    <w:rsid w:val="26FC3E80"/>
    <w:rsid w:val="2719690A"/>
    <w:rsid w:val="271B78E5"/>
    <w:rsid w:val="27271343"/>
    <w:rsid w:val="2734580E"/>
    <w:rsid w:val="273860F9"/>
    <w:rsid w:val="273870AC"/>
    <w:rsid w:val="273E0C34"/>
    <w:rsid w:val="2741191A"/>
    <w:rsid w:val="27414757"/>
    <w:rsid w:val="2743520B"/>
    <w:rsid w:val="2745781F"/>
    <w:rsid w:val="274A1E27"/>
    <w:rsid w:val="27524C42"/>
    <w:rsid w:val="27532138"/>
    <w:rsid w:val="27544FAA"/>
    <w:rsid w:val="275838E7"/>
    <w:rsid w:val="275B2D9A"/>
    <w:rsid w:val="275D009F"/>
    <w:rsid w:val="276854B7"/>
    <w:rsid w:val="27686F37"/>
    <w:rsid w:val="276A1EF1"/>
    <w:rsid w:val="276A48B5"/>
    <w:rsid w:val="27752B87"/>
    <w:rsid w:val="2777490B"/>
    <w:rsid w:val="27790330"/>
    <w:rsid w:val="277D5630"/>
    <w:rsid w:val="278B6035"/>
    <w:rsid w:val="278D42FA"/>
    <w:rsid w:val="278D63C4"/>
    <w:rsid w:val="278F1138"/>
    <w:rsid w:val="27940D68"/>
    <w:rsid w:val="27961987"/>
    <w:rsid w:val="27987EBB"/>
    <w:rsid w:val="27996968"/>
    <w:rsid w:val="27997B1E"/>
    <w:rsid w:val="27A23A88"/>
    <w:rsid w:val="27AB2B9B"/>
    <w:rsid w:val="27AD1892"/>
    <w:rsid w:val="27AD3F46"/>
    <w:rsid w:val="27B150B0"/>
    <w:rsid w:val="27B32AAF"/>
    <w:rsid w:val="27B50D65"/>
    <w:rsid w:val="27C07245"/>
    <w:rsid w:val="27C51BE4"/>
    <w:rsid w:val="27C6290A"/>
    <w:rsid w:val="27C649EC"/>
    <w:rsid w:val="27CC1EEA"/>
    <w:rsid w:val="27CC758C"/>
    <w:rsid w:val="27D04BED"/>
    <w:rsid w:val="27D40BFB"/>
    <w:rsid w:val="27D72C48"/>
    <w:rsid w:val="27DD3FD0"/>
    <w:rsid w:val="27E12292"/>
    <w:rsid w:val="27E965BE"/>
    <w:rsid w:val="27EB05C2"/>
    <w:rsid w:val="27F17DF0"/>
    <w:rsid w:val="27F2165F"/>
    <w:rsid w:val="280E6981"/>
    <w:rsid w:val="280F508B"/>
    <w:rsid w:val="28100F2A"/>
    <w:rsid w:val="28137B19"/>
    <w:rsid w:val="281F5DC9"/>
    <w:rsid w:val="28284650"/>
    <w:rsid w:val="282E1127"/>
    <w:rsid w:val="28363916"/>
    <w:rsid w:val="28384476"/>
    <w:rsid w:val="283A251D"/>
    <w:rsid w:val="284101E2"/>
    <w:rsid w:val="2844347B"/>
    <w:rsid w:val="2859160F"/>
    <w:rsid w:val="2869447A"/>
    <w:rsid w:val="286E6AFD"/>
    <w:rsid w:val="28732366"/>
    <w:rsid w:val="28762929"/>
    <w:rsid w:val="28801319"/>
    <w:rsid w:val="28856053"/>
    <w:rsid w:val="28893937"/>
    <w:rsid w:val="288B1581"/>
    <w:rsid w:val="28911509"/>
    <w:rsid w:val="28913C78"/>
    <w:rsid w:val="289D79DF"/>
    <w:rsid w:val="289E73E3"/>
    <w:rsid w:val="28A04646"/>
    <w:rsid w:val="28A423A4"/>
    <w:rsid w:val="28AA09AC"/>
    <w:rsid w:val="28AA3774"/>
    <w:rsid w:val="28AE1D6C"/>
    <w:rsid w:val="28B75F3C"/>
    <w:rsid w:val="28C657F6"/>
    <w:rsid w:val="28CB2B19"/>
    <w:rsid w:val="28CF2E82"/>
    <w:rsid w:val="28F45255"/>
    <w:rsid w:val="28F87746"/>
    <w:rsid w:val="29003AAA"/>
    <w:rsid w:val="29050798"/>
    <w:rsid w:val="29057941"/>
    <w:rsid w:val="2913728E"/>
    <w:rsid w:val="2916678B"/>
    <w:rsid w:val="291C25F3"/>
    <w:rsid w:val="291D09EF"/>
    <w:rsid w:val="291D2151"/>
    <w:rsid w:val="292813A2"/>
    <w:rsid w:val="293144F2"/>
    <w:rsid w:val="29333183"/>
    <w:rsid w:val="293750FD"/>
    <w:rsid w:val="29380DCC"/>
    <w:rsid w:val="293F64D5"/>
    <w:rsid w:val="29424212"/>
    <w:rsid w:val="2944442E"/>
    <w:rsid w:val="29454C93"/>
    <w:rsid w:val="29501DC9"/>
    <w:rsid w:val="29516439"/>
    <w:rsid w:val="29586294"/>
    <w:rsid w:val="296131CC"/>
    <w:rsid w:val="296616F0"/>
    <w:rsid w:val="2966274F"/>
    <w:rsid w:val="296829A5"/>
    <w:rsid w:val="296B6986"/>
    <w:rsid w:val="296C02F7"/>
    <w:rsid w:val="2970538A"/>
    <w:rsid w:val="297540B4"/>
    <w:rsid w:val="29760211"/>
    <w:rsid w:val="2976727F"/>
    <w:rsid w:val="297A1A86"/>
    <w:rsid w:val="297B7724"/>
    <w:rsid w:val="29896CCB"/>
    <w:rsid w:val="29932763"/>
    <w:rsid w:val="29945878"/>
    <w:rsid w:val="29947505"/>
    <w:rsid w:val="2996455E"/>
    <w:rsid w:val="299B6018"/>
    <w:rsid w:val="29A053DC"/>
    <w:rsid w:val="29B652AB"/>
    <w:rsid w:val="29B72052"/>
    <w:rsid w:val="29B90CA2"/>
    <w:rsid w:val="29C37328"/>
    <w:rsid w:val="29C71603"/>
    <w:rsid w:val="29C93A88"/>
    <w:rsid w:val="29CC3702"/>
    <w:rsid w:val="29CC3E5E"/>
    <w:rsid w:val="29CE4E04"/>
    <w:rsid w:val="29DA72DA"/>
    <w:rsid w:val="29E378C3"/>
    <w:rsid w:val="29E40E45"/>
    <w:rsid w:val="29E8039D"/>
    <w:rsid w:val="29EC7D37"/>
    <w:rsid w:val="29F226D9"/>
    <w:rsid w:val="29F30EB1"/>
    <w:rsid w:val="29F36639"/>
    <w:rsid w:val="29FA6D0E"/>
    <w:rsid w:val="29FD13D6"/>
    <w:rsid w:val="29FE516E"/>
    <w:rsid w:val="2A0A53CF"/>
    <w:rsid w:val="2A0E72C1"/>
    <w:rsid w:val="2A2A1D60"/>
    <w:rsid w:val="2A2F31DF"/>
    <w:rsid w:val="2A333123"/>
    <w:rsid w:val="2A3660F7"/>
    <w:rsid w:val="2A4D10C0"/>
    <w:rsid w:val="2A555B04"/>
    <w:rsid w:val="2A58046C"/>
    <w:rsid w:val="2A5C7555"/>
    <w:rsid w:val="2A5E2703"/>
    <w:rsid w:val="2A5F7C53"/>
    <w:rsid w:val="2A607546"/>
    <w:rsid w:val="2A6C1BDA"/>
    <w:rsid w:val="2A704DAF"/>
    <w:rsid w:val="2A7F2808"/>
    <w:rsid w:val="2A812014"/>
    <w:rsid w:val="2A81520E"/>
    <w:rsid w:val="2A844EB5"/>
    <w:rsid w:val="2A91071C"/>
    <w:rsid w:val="2A977A03"/>
    <w:rsid w:val="2AA00E3C"/>
    <w:rsid w:val="2AAB3ACB"/>
    <w:rsid w:val="2AAF3B29"/>
    <w:rsid w:val="2AB13A76"/>
    <w:rsid w:val="2AB2732D"/>
    <w:rsid w:val="2AB84F2D"/>
    <w:rsid w:val="2AB90E7E"/>
    <w:rsid w:val="2ABA24CE"/>
    <w:rsid w:val="2AC62C21"/>
    <w:rsid w:val="2AD03A9F"/>
    <w:rsid w:val="2AE10971"/>
    <w:rsid w:val="2AED495D"/>
    <w:rsid w:val="2AEF35BB"/>
    <w:rsid w:val="2B022157"/>
    <w:rsid w:val="2B035402"/>
    <w:rsid w:val="2B052C83"/>
    <w:rsid w:val="2B09478F"/>
    <w:rsid w:val="2B0D6AA1"/>
    <w:rsid w:val="2B0E7E3D"/>
    <w:rsid w:val="2B133478"/>
    <w:rsid w:val="2B1C1E5C"/>
    <w:rsid w:val="2B3E7445"/>
    <w:rsid w:val="2B4127A1"/>
    <w:rsid w:val="2B487ADA"/>
    <w:rsid w:val="2B503A32"/>
    <w:rsid w:val="2B5544C3"/>
    <w:rsid w:val="2B5613B8"/>
    <w:rsid w:val="2B5B6257"/>
    <w:rsid w:val="2B615414"/>
    <w:rsid w:val="2B6335B5"/>
    <w:rsid w:val="2B642398"/>
    <w:rsid w:val="2B6B0121"/>
    <w:rsid w:val="2B6E21FF"/>
    <w:rsid w:val="2B730EFD"/>
    <w:rsid w:val="2B762D6B"/>
    <w:rsid w:val="2B84330E"/>
    <w:rsid w:val="2B897D08"/>
    <w:rsid w:val="2B8C79C6"/>
    <w:rsid w:val="2B97636B"/>
    <w:rsid w:val="2B9C30A6"/>
    <w:rsid w:val="2BA157A2"/>
    <w:rsid w:val="2BA967CA"/>
    <w:rsid w:val="2BB313F7"/>
    <w:rsid w:val="2BB32996"/>
    <w:rsid w:val="2BBC3A06"/>
    <w:rsid w:val="2BCA6B90"/>
    <w:rsid w:val="2BCB2536"/>
    <w:rsid w:val="2BCC54D5"/>
    <w:rsid w:val="2BCF2990"/>
    <w:rsid w:val="2BDB094E"/>
    <w:rsid w:val="2BE0606D"/>
    <w:rsid w:val="2BE97754"/>
    <w:rsid w:val="2BEE0681"/>
    <w:rsid w:val="2BF66E52"/>
    <w:rsid w:val="2BFB769A"/>
    <w:rsid w:val="2BFD2672"/>
    <w:rsid w:val="2C001C90"/>
    <w:rsid w:val="2C045AF6"/>
    <w:rsid w:val="2C0E5379"/>
    <w:rsid w:val="2C11436F"/>
    <w:rsid w:val="2C1264D7"/>
    <w:rsid w:val="2C134BF3"/>
    <w:rsid w:val="2C152AFE"/>
    <w:rsid w:val="2C1A6C86"/>
    <w:rsid w:val="2C1B24F3"/>
    <w:rsid w:val="2C1C66D3"/>
    <w:rsid w:val="2C246DCD"/>
    <w:rsid w:val="2C29790B"/>
    <w:rsid w:val="2C2A3FEA"/>
    <w:rsid w:val="2C335480"/>
    <w:rsid w:val="2C3818FC"/>
    <w:rsid w:val="2C3D7270"/>
    <w:rsid w:val="2C434839"/>
    <w:rsid w:val="2C550700"/>
    <w:rsid w:val="2C5B3119"/>
    <w:rsid w:val="2C5C3274"/>
    <w:rsid w:val="2C6470D6"/>
    <w:rsid w:val="2C655545"/>
    <w:rsid w:val="2C6563F3"/>
    <w:rsid w:val="2C6649EC"/>
    <w:rsid w:val="2C6A6394"/>
    <w:rsid w:val="2C6C55EF"/>
    <w:rsid w:val="2C6D3F85"/>
    <w:rsid w:val="2C7D1A05"/>
    <w:rsid w:val="2C8002DA"/>
    <w:rsid w:val="2C8114F5"/>
    <w:rsid w:val="2C81371B"/>
    <w:rsid w:val="2C851C24"/>
    <w:rsid w:val="2C8616BE"/>
    <w:rsid w:val="2C892158"/>
    <w:rsid w:val="2C8B36B7"/>
    <w:rsid w:val="2C945944"/>
    <w:rsid w:val="2C983F83"/>
    <w:rsid w:val="2C9B4230"/>
    <w:rsid w:val="2C9C2C5A"/>
    <w:rsid w:val="2CA23219"/>
    <w:rsid w:val="2CA611AE"/>
    <w:rsid w:val="2CAD353C"/>
    <w:rsid w:val="2CB40099"/>
    <w:rsid w:val="2CB847EB"/>
    <w:rsid w:val="2CBB1A22"/>
    <w:rsid w:val="2CBC2305"/>
    <w:rsid w:val="2CBE13AA"/>
    <w:rsid w:val="2CC10E11"/>
    <w:rsid w:val="2CC72CBB"/>
    <w:rsid w:val="2CD10CFB"/>
    <w:rsid w:val="2CE4717E"/>
    <w:rsid w:val="2CE82C2B"/>
    <w:rsid w:val="2CF94086"/>
    <w:rsid w:val="2CFB434C"/>
    <w:rsid w:val="2D021E3F"/>
    <w:rsid w:val="2D022756"/>
    <w:rsid w:val="2D080FE3"/>
    <w:rsid w:val="2D087432"/>
    <w:rsid w:val="2D090C65"/>
    <w:rsid w:val="2D0A02C7"/>
    <w:rsid w:val="2D1F4A6B"/>
    <w:rsid w:val="2D2465D2"/>
    <w:rsid w:val="2D254FFA"/>
    <w:rsid w:val="2D313FBC"/>
    <w:rsid w:val="2D3209E4"/>
    <w:rsid w:val="2D3504CA"/>
    <w:rsid w:val="2D39196F"/>
    <w:rsid w:val="2D4101DE"/>
    <w:rsid w:val="2D522E2D"/>
    <w:rsid w:val="2D593F8B"/>
    <w:rsid w:val="2D5A4DFB"/>
    <w:rsid w:val="2D6032AF"/>
    <w:rsid w:val="2D621327"/>
    <w:rsid w:val="2D6A3D37"/>
    <w:rsid w:val="2D706439"/>
    <w:rsid w:val="2D7144A0"/>
    <w:rsid w:val="2D766F18"/>
    <w:rsid w:val="2D795234"/>
    <w:rsid w:val="2D7A0A4C"/>
    <w:rsid w:val="2D7B7B78"/>
    <w:rsid w:val="2D7D3431"/>
    <w:rsid w:val="2D83526F"/>
    <w:rsid w:val="2D8868B3"/>
    <w:rsid w:val="2D8D2359"/>
    <w:rsid w:val="2D916B96"/>
    <w:rsid w:val="2D921B41"/>
    <w:rsid w:val="2D93791A"/>
    <w:rsid w:val="2D9655D4"/>
    <w:rsid w:val="2DA31D38"/>
    <w:rsid w:val="2DA76F60"/>
    <w:rsid w:val="2DAF14D9"/>
    <w:rsid w:val="2DB52503"/>
    <w:rsid w:val="2DB57E8F"/>
    <w:rsid w:val="2DBF2557"/>
    <w:rsid w:val="2DCC5D70"/>
    <w:rsid w:val="2DD16652"/>
    <w:rsid w:val="2DDB5801"/>
    <w:rsid w:val="2DDC62B5"/>
    <w:rsid w:val="2DE13B41"/>
    <w:rsid w:val="2DE27D71"/>
    <w:rsid w:val="2DE53D06"/>
    <w:rsid w:val="2DE55AB4"/>
    <w:rsid w:val="2DF24CDE"/>
    <w:rsid w:val="2E0A73DE"/>
    <w:rsid w:val="2E0C7B07"/>
    <w:rsid w:val="2E1444B7"/>
    <w:rsid w:val="2E1505F7"/>
    <w:rsid w:val="2E165E03"/>
    <w:rsid w:val="2E17048E"/>
    <w:rsid w:val="2E17068F"/>
    <w:rsid w:val="2E240484"/>
    <w:rsid w:val="2E2F2F4F"/>
    <w:rsid w:val="2E400F3C"/>
    <w:rsid w:val="2E40393D"/>
    <w:rsid w:val="2E42545C"/>
    <w:rsid w:val="2E4E4C5C"/>
    <w:rsid w:val="2E53386D"/>
    <w:rsid w:val="2E54083F"/>
    <w:rsid w:val="2E545842"/>
    <w:rsid w:val="2E5B4080"/>
    <w:rsid w:val="2E604C14"/>
    <w:rsid w:val="2E6C376A"/>
    <w:rsid w:val="2E7A20F1"/>
    <w:rsid w:val="2E7D0933"/>
    <w:rsid w:val="2E7D41E3"/>
    <w:rsid w:val="2E823735"/>
    <w:rsid w:val="2E885677"/>
    <w:rsid w:val="2E8D03C1"/>
    <w:rsid w:val="2E8D70E6"/>
    <w:rsid w:val="2E9865E9"/>
    <w:rsid w:val="2EA20DA9"/>
    <w:rsid w:val="2EA5123B"/>
    <w:rsid w:val="2EA628E2"/>
    <w:rsid w:val="2EBC167F"/>
    <w:rsid w:val="2EC1207D"/>
    <w:rsid w:val="2ECC2F9D"/>
    <w:rsid w:val="2ECD074E"/>
    <w:rsid w:val="2ECD3FF8"/>
    <w:rsid w:val="2ECE02F6"/>
    <w:rsid w:val="2EDA081B"/>
    <w:rsid w:val="2EDC0415"/>
    <w:rsid w:val="2EDC0C65"/>
    <w:rsid w:val="2EE32DBB"/>
    <w:rsid w:val="2EEC34CC"/>
    <w:rsid w:val="2EF23541"/>
    <w:rsid w:val="2EF32EAF"/>
    <w:rsid w:val="2EF86BCE"/>
    <w:rsid w:val="2F005219"/>
    <w:rsid w:val="2F065E23"/>
    <w:rsid w:val="2F070DE7"/>
    <w:rsid w:val="2F07225C"/>
    <w:rsid w:val="2F0A55D3"/>
    <w:rsid w:val="2F0C3B90"/>
    <w:rsid w:val="2F0F2DE8"/>
    <w:rsid w:val="2F12540C"/>
    <w:rsid w:val="2F1D756B"/>
    <w:rsid w:val="2F1E127D"/>
    <w:rsid w:val="2F241835"/>
    <w:rsid w:val="2F26668A"/>
    <w:rsid w:val="2F2C1F2D"/>
    <w:rsid w:val="2F2E2A0F"/>
    <w:rsid w:val="2F30524D"/>
    <w:rsid w:val="2F3824B4"/>
    <w:rsid w:val="2F3A1FFA"/>
    <w:rsid w:val="2F3C7FB7"/>
    <w:rsid w:val="2F3D6024"/>
    <w:rsid w:val="2F4022E2"/>
    <w:rsid w:val="2F50493E"/>
    <w:rsid w:val="2F540101"/>
    <w:rsid w:val="2F561105"/>
    <w:rsid w:val="2F583BDC"/>
    <w:rsid w:val="2F5A7928"/>
    <w:rsid w:val="2F6416E9"/>
    <w:rsid w:val="2F795AEC"/>
    <w:rsid w:val="2F7C41F6"/>
    <w:rsid w:val="2F8537BF"/>
    <w:rsid w:val="2F8802A8"/>
    <w:rsid w:val="2F921FCF"/>
    <w:rsid w:val="2F995540"/>
    <w:rsid w:val="2F9B7601"/>
    <w:rsid w:val="2FB0715A"/>
    <w:rsid w:val="2FB12556"/>
    <w:rsid w:val="2FB22E2D"/>
    <w:rsid w:val="2FB85029"/>
    <w:rsid w:val="2FBB0DB3"/>
    <w:rsid w:val="2FC105A1"/>
    <w:rsid w:val="2FC17E5A"/>
    <w:rsid w:val="2FC75471"/>
    <w:rsid w:val="2FCC6F2B"/>
    <w:rsid w:val="2FCD148D"/>
    <w:rsid w:val="2FDC2651"/>
    <w:rsid w:val="2FDC7FF6"/>
    <w:rsid w:val="2FDD48C9"/>
    <w:rsid w:val="2FEA2AD5"/>
    <w:rsid w:val="2FED3F5C"/>
    <w:rsid w:val="2FEE10D6"/>
    <w:rsid w:val="2FF34912"/>
    <w:rsid w:val="2FFC468D"/>
    <w:rsid w:val="2FFF01A2"/>
    <w:rsid w:val="30030DDA"/>
    <w:rsid w:val="3027652E"/>
    <w:rsid w:val="30387C06"/>
    <w:rsid w:val="304367A6"/>
    <w:rsid w:val="30437374"/>
    <w:rsid w:val="30452534"/>
    <w:rsid w:val="304878DE"/>
    <w:rsid w:val="30523295"/>
    <w:rsid w:val="30523802"/>
    <w:rsid w:val="30594688"/>
    <w:rsid w:val="305D383C"/>
    <w:rsid w:val="30646739"/>
    <w:rsid w:val="30647164"/>
    <w:rsid w:val="306D3121"/>
    <w:rsid w:val="30725835"/>
    <w:rsid w:val="307D0378"/>
    <w:rsid w:val="308162EA"/>
    <w:rsid w:val="308850FF"/>
    <w:rsid w:val="308B77B7"/>
    <w:rsid w:val="30981A91"/>
    <w:rsid w:val="30983FDE"/>
    <w:rsid w:val="309B1B83"/>
    <w:rsid w:val="309B5D6F"/>
    <w:rsid w:val="309B5E20"/>
    <w:rsid w:val="309D08B4"/>
    <w:rsid w:val="30A13F14"/>
    <w:rsid w:val="30A4042C"/>
    <w:rsid w:val="30B7209B"/>
    <w:rsid w:val="30BA6D84"/>
    <w:rsid w:val="30CE072D"/>
    <w:rsid w:val="30CF3F91"/>
    <w:rsid w:val="30D44382"/>
    <w:rsid w:val="30DB73BF"/>
    <w:rsid w:val="30E169F9"/>
    <w:rsid w:val="30E43E01"/>
    <w:rsid w:val="30E60BAA"/>
    <w:rsid w:val="30E640C3"/>
    <w:rsid w:val="30E66FA7"/>
    <w:rsid w:val="30E8760E"/>
    <w:rsid w:val="30E87D95"/>
    <w:rsid w:val="30F63A6D"/>
    <w:rsid w:val="30F87F2B"/>
    <w:rsid w:val="30FA3EAF"/>
    <w:rsid w:val="30FB0C43"/>
    <w:rsid w:val="30FB31D4"/>
    <w:rsid w:val="31004D3D"/>
    <w:rsid w:val="310224D9"/>
    <w:rsid w:val="31214AF5"/>
    <w:rsid w:val="312205FF"/>
    <w:rsid w:val="312451BD"/>
    <w:rsid w:val="312477FF"/>
    <w:rsid w:val="3126266B"/>
    <w:rsid w:val="31280DB4"/>
    <w:rsid w:val="31317015"/>
    <w:rsid w:val="313A489A"/>
    <w:rsid w:val="313B6B8F"/>
    <w:rsid w:val="313C7EAB"/>
    <w:rsid w:val="313D65C9"/>
    <w:rsid w:val="313D7822"/>
    <w:rsid w:val="313F54DB"/>
    <w:rsid w:val="31457B89"/>
    <w:rsid w:val="31501496"/>
    <w:rsid w:val="3152444D"/>
    <w:rsid w:val="3152520E"/>
    <w:rsid w:val="315B7F62"/>
    <w:rsid w:val="31645812"/>
    <w:rsid w:val="3171584C"/>
    <w:rsid w:val="31741CEC"/>
    <w:rsid w:val="317635C5"/>
    <w:rsid w:val="31777CAA"/>
    <w:rsid w:val="318203C8"/>
    <w:rsid w:val="31822B3F"/>
    <w:rsid w:val="318826FD"/>
    <w:rsid w:val="318D1875"/>
    <w:rsid w:val="318E67EC"/>
    <w:rsid w:val="31913625"/>
    <w:rsid w:val="319C7EF7"/>
    <w:rsid w:val="31A16195"/>
    <w:rsid w:val="31A17D7F"/>
    <w:rsid w:val="31A562AC"/>
    <w:rsid w:val="31AA4468"/>
    <w:rsid w:val="31B27C95"/>
    <w:rsid w:val="31B732C3"/>
    <w:rsid w:val="31B77767"/>
    <w:rsid w:val="31B9703B"/>
    <w:rsid w:val="31BB2EC3"/>
    <w:rsid w:val="31C0330A"/>
    <w:rsid w:val="31C551B1"/>
    <w:rsid w:val="31C970BD"/>
    <w:rsid w:val="31D52413"/>
    <w:rsid w:val="31DA2DE1"/>
    <w:rsid w:val="31DE35C1"/>
    <w:rsid w:val="31E05CBB"/>
    <w:rsid w:val="31E54310"/>
    <w:rsid w:val="31E95946"/>
    <w:rsid w:val="31EB1726"/>
    <w:rsid w:val="31EF1BAF"/>
    <w:rsid w:val="31F255AF"/>
    <w:rsid w:val="31F9041F"/>
    <w:rsid w:val="31F9396C"/>
    <w:rsid w:val="32051FA9"/>
    <w:rsid w:val="32082C95"/>
    <w:rsid w:val="320C7132"/>
    <w:rsid w:val="320D0BAB"/>
    <w:rsid w:val="32146967"/>
    <w:rsid w:val="3215635F"/>
    <w:rsid w:val="321E6785"/>
    <w:rsid w:val="32227237"/>
    <w:rsid w:val="32243896"/>
    <w:rsid w:val="32290665"/>
    <w:rsid w:val="3229115E"/>
    <w:rsid w:val="322E5C7B"/>
    <w:rsid w:val="322F6ADA"/>
    <w:rsid w:val="32300155"/>
    <w:rsid w:val="323D0061"/>
    <w:rsid w:val="323D48C9"/>
    <w:rsid w:val="323D7C6C"/>
    <w:rsid w:val="324256F4"/>
    <w:rsid w:val="32505FA1"/>
    <w:rsid w:val="32514060"/>
    <w:rsid w:val="32590324"/>
    <w:rsid w:val="325A51EB"/>
    <w:rsid w:val="325F1B72"/>
    <w:rsid w:val="326A2F77"/>
    <w:rsid w:val="32733295"/>
    <w:rsid w:val="327C50A4"/>
    <w:rsid w:val="327D6BFC"/>
    <w:rsid w:val="32811534"/>
    <w:rsid w:val="32876ABB"/>
    <w:rsid w:val="328955A7"/>
    <w:rsid w:val="328C7791"/>
    <w:rsid w:val="328F2ED9"/>
    <w:rsid w:val="32931F82"/>
    <w:rsid w:val="3293611E"/>
    <w:rsid w:val="3293768A"/>
    <w:rsid w:val="329A662E"/>
    <w:rsid w:val="329D6D89"/>
    <w:rsid w:val="329F27B6"/>
    <w:rsid w:val="32A73338"/>
    <w:rsid w:val="32AC05CD"/>
    <w:rsid w:val="32AC094E"/>
    <w:rsid w:val="32B0776D"/>
    <w:rsid w:val="32B80242"/>
    <w:rsid w:val="32BD5216"/>
    <w:rsid w:val="32CA0CE5"/>
    <w:rsid w:val="32D85BE7"/>
    <w:rsid w:val="32D9165A"/>
    <w:rsid w:val="32E11300"/>
    <w:rsid w:val="32E23D17"/>
    <w:rsid w:val="32EC49B4"/>
    <w:rsid w:val="32F874AE"/>
    <w:rsid w:val="33002013"/>
    <w:rsid w:val="33006BDC"/>
    <w:rsid w:val="33024872"/>
    <w:rsid w:val="331704BD"/>
    <w:rsid w:val="331A61FF"/>
    <w:rsid w:val="332013BC"/>
    <w:rsid w:val="33234B8A"/>
    <w:rsid w:val="332351A5"/>
    <w:rsid w:val="332772A8"/>
    <w:rsid w:val="332C0F25"/>
    <w:rsid w:val="332D1141"/>
    <w:rsid w:val="332F2FB9"/>
    <w:rsid w:val="333553FB"/>
    <w:rsid w:val="333A167A"/>
    <w:rsid w:val="333C2D71"/>
    <w:rsid w:val="334A1529"/>
    <w:rsid w:val="334B130E"/>
    <w:rsid w:val="3353526D"/>
    <w:rsid w:val="33551250"/>
    <w:rsid w:val="33560BDB"/>
    <w:rsid w:val="33680D19"/>
    <w:rsid w:val="336A33D5"/>
    <w:rsid w:val="336D5138"/>
    <w:rsid w:val="337D160A"/>
    <w:rsid w:val="337E5537"/>
    <w:rsid w:val="337E73E7"/>
    <w:rsid w:val="337F7051"/>
    <w:rsid w:val="33827AAE"/>
    <w:rsid w:val="3383619B"/>
    <w:rsid w:val="33890071"/>
    <w:rsid w:val="338A1139"/>
    <w:rsid w:val="33924847"/>
    <w:rsid w:val="33977850"/>
    <w:rsid w:val="33992C59"/>
    <w:rsid w:val="33A129A4"/>
    <w:rsid w:val="33A9321E"/>
    <w:rsid w:val="33AD1A4C"/>
    <w:rsid w:val="33B14F33"/>
    <w:rsid w:val="33B378AB"/>
    <w:rsid w:val="33C00325"/>
    <w:rsid w:val="33DE1DB0"/>
    <w:rsid w:val="33E365F1"/>
    <w:rsid w:val="33E37BF0"/>
    <w:rsid w:val="33EE233C"/>
    <w:rsid w:val="33F60F1D"/>
    <w:rsid w:val="33F940A8"/>
    <w:rsid w:val="33FC76B3"/>
    <w:rsid w:val="33FE465B"/>
    <w:rsid w:val="340C1E7C"/>
    <w:rsid w:val="340D04B5"/>
    <w:rsid w:val="34102CF7"/>
    <w:rsid w:val="34140EA1"/>
    <w:rsid w:val="34272982"/>
    <w:rsid w:val="342A149B"/>
    <w:rsid w:val="342D60F2"/>
    <w:rsid w:val="34326B63"/>
    <w:rsid w:val="343528D4"/>
    <w:rsid w:val="34371B26"/>
    <w:rsid w:val="34374F17"/>
    <w:rsid w:val="344C47F7"/>
    <w:rsid w:val="345816D0"/>
    <w:rsid w:val="34721387"/>
    <w:rsid w:val="3474193F"/>
    <w:rsid w:val="347743B8"/>
    <w:rsid w:val="347A319D"/>
    <w:rsid w:val="3482090B"/>
    <w:rsid w:val="34847260"/>
    <w:rsid w:val="34877639"/>
    <w:rsid w:val="34897199"/>
    <w:rsid w:val="348D3A03"/>
    <w:rsid w:val="348E778E"/>
    <w:rsid w:val="34957585"/>
    <w:rsid w:val="34A21FA8"/>
    <w:rsid w:val="34A246FE"/>
    <w:rsid w:val="34B123C7"/>
    <w:rsid w:val="34B527FC"/>
    <w:rsid w:val="34B84645"/>
    <w:rsid w:val="34BC0033"/>
    <w:rsid w:val="34C25EBA"/>
    <w:rsid w:val="34CB67DB"/>
    <w:rsid w:val="34CC4C4C"/>
    <w:rsid w:val="34D7451A"/>
    <w:rsid w:val="34DA79F4"/>
    <w:rsid w:val="34E15831"/>
    <w:rsid w:val="34E72163"/>
    <w:rsid w:val="34EC3B5C"/>
    <w:rsid w:val="34F13583"/>
    <w:rsid w:val="34F211F4"/>
    <w:rsid w:val="34F603C0"/>
    <w:rsid w:val="34F86CCE"/>
    <w:rsid w:val="34FB5BBD"/>
    <w:rsid w:val="34FD0A7B"/>
    <w:rsid w:val="34FF799A"/>
    <w:rsid w:val="35050441"/>
    <w:rsid w:val="350772BE"/>
    <w:rsid w:val="350839BE"/>
    <w:rsid w:val="35102D1F"/>
    <w:rsid w:val="35131940"/>
    <w:rsid w:val="35175D62"/>
    <w:rsid w:val="3518051D"/>
    <w:rsid w:val="351A0F48"/>
    <w:rsid w:val="35220466"/>
    <w:rsid w:val="35227A79"/>
    <w:rsid w:val="352473A6"/>
    <w:rsid w:val="352D587F"/>
    <w:rsid w:val="352E0A6D"/>
    <w:rsid w:val="352E4C5B"/>
    <w:rsid w:val="352E5F92"/>
    <w:rsid w:val="353056C3"/>
    <w:rsid w:val="35356F29"/>
    <w:rsid w:val="353A1A0C"/>
    <w:rsid w:val="353F1F4D"/>
    <w:rsid w:val="35405832"/>
    <w:rsid w:val="35465682"/>
    <w:rsid w:val="3547699D"/>
    <w:rsid w:val="354D466A"/>
    <w:rsid w:val="35502874"/>
    <w:rsid w:val="355F6DE7"/>
    <w:rsid w:val="35671C73"/>
    <w:rsid w:val="35687450"/>
    <w:rsid w:val="356943E3"/>
    <w:rsid w:val="356D282A"/>
    <w:rsid w:val="356F4BD6"/>
    <w:rsid w:val="357240D1"/>
    <w:rsid w:val="3581758A"/>
    <w:rsid w:val="35822F96"/>
    <w:rsid w:val="358B3EBC"/>
    <w:rsid w:val="35901101"/>
    <w:rsid w:val="35904557"/>
    <w:rsid w:val="35951391"/>
    <w:rsid w:val="35987CC4"/>
    <w:rsid w:val="359E22F9"/>
    <w:rsid w:val="35A323B2"/>
    <w:rsid w:val="35A658B8"/>
    <w:rsid w:val="35B3697C"/>
    <w:rsid w:val="35B5220F"/>
    <w:rsid w:val="35B910E5"/>
    <w:rsid w:val="35BD4FFA"/>
    <w:rsid w:val="35C031D1"/>
    <w:rsid w:val="35CA1695"/>
    <w:rsid w:val="35CC042C"/>
    <w:rsid w:val="35D56AF7"/>
    <w:rsid w:val="35D834E0"/>
    <w:rsid w:val="35DC58AD"/>
    <w:rsid w:val="35DF0746"/>
    <w:rsid w:val="35E32451"/>
    <w:rsid w:val="35F05E5E"/>
    <w:rsid w:val="35F50EDF"/>
    <w:rsid w:val="35FE0115"/>
    <w:rsid w:val="360331DB"/>
    <w:rsid w:val="360679B8"/>
    <w:rsid w:val="360B5729"/>
    <w:rsid w:val="360D0C7A"/>
    <w:rsid w:val="360D3F83"/>
    <w:rsid w:val="361251A3"/>
    <w:rsid w:val="3616097E"/>
    <w:rsid w:val="361743E6"/>
    <w:rsid w:val="361B02C4"/>
    <w:rsid w:val="361F3AC2"/>
    <w:rsid w:val="362876C9"/>
    <w:rsid w:val="362F3D4B"/>
    <w:rsid w:val="363B0967"/>
    <w:rsid w:val="363E6A56"/>
    <w:rsid w:val="36422244"/>
    <w:rsid w:val="364B0C49"/>
    <w:rsid w:val="364C5D71"/>
    <w:rsid w:val="36580C26"/>
    <w:rsid w:val="365A7728"/>
    <w:rsid w:val="3660163B"/>
    <w:rsid w:val="36622785"/>
    <w:rsid w:val="3663021A"/>
    <w:rsid w:val="36654949"/>
    <w:rsid w:val="36673691"/>
    <w:rsid w:val="366D0503"/>
    <w:rsid w:val="367429BD"/>
    <w:rsid w:val="36846E60"/>
    <w:rsid w:val="36854893"/>
    <w:rsid w:val="368A793D"/>
    <w:rsid w:val="368B0D5A"/>
    <w:rsid w:val="368E2DA2"/>
    <w:rsid w:val="368E7DC4"/>
    <w:rsid w:val="36995157"/>
    <w:rsid w:val="36A80FD6"/>
    <w:rsid w:val="36AA2CE6"/>
    <w:rsid w:val="36B11A5E"/>
    <w:rsid w:val="36BE0F76"/>
    <w:rsid w:val="36CB3A0A"/>
    <w:rsid w:val="36CC1CE9"/>
    <w:rsid w:val="36CC5A63"/>
    <w:rsid w:val="36D41FF8"/>
    <w:rsid w:val="36D42F07"/>
    <w:rsid w:val="36DC6E1D"/>
    <w:rsid w:val="36E56B24"/>
    <w:rsid w:val="36E77252"/>
    <w:rsid w:val="36E81C08"/>
    <w:rsid w:val="36E903C3"/>
    <w:rsid w:val="36F05632"/>
    <w:rsid w:val="36F66D87"/>
    <w:rsid w:val="36FE4B62"/>
    <w:rsid w:val="37015FBC"/>
    <w:rsid w:val="37082260"/>
    <w:rsid w:val="370B709A"/>
    <w:rsid w:val="37100ECC"/>
    <w:rsid w:val="37135440"/>
    <w:rsid w:val="37135D4E"/>
    <w:rsid w:val="3717058A"/>
    <w:rsid w:val="371E1963"/>
    <w:rsid w:val="372302AC"/>
    <w:rsid w:val="37230BCA"/>
    <w:rsid w:val="3725656C"/>
    <w:rsid w:val="3732449F"/>
    <w:rsid w:val="3744747A"/>
    <w:rsid w:val="374F6249"/>
    <w:rsid w:val="37532326"/>
    <w:rsid w:val="375374D8"/>
    <w:rsid w:val="375D4FFC"/>
    <w:rsid w:val="376171C8"/>
    <w:rsid w:val="37645C9B"/>
    <w:rsid w:val="376A4CDF"/>
    <w:rsid w:val="376C4B50"/>
    <w:rsid w:val="376E7326"/>
    <w:rsid w:val="3772215F"/>
    <w:rsid w:val="377365D7"/>
    <w:rsid w:val="377961A5"/>
    <w:rsid w:val="377E11E9"/>
    <w:rsid w:val="377F4D07"/>
    <w:rsid w:val="37866890"/>
    <w:rsid w:val="37866C37"/>
    <w:rsid w:val="378C6358"/>
    <w:rsid w:val="378D3574"/>
    <w:rsid w:val="378D50FD"/>
    <w:rsid w:val="3795416F"/>
    <w:rsid w:val="37983B97"/>
    <w:rsid w:val="379931CC"/>
    <w:rsid w:val="37997C85"/>
    <w:rsid w:val="379C7204"/>
    <w:rsid w:val="37A24C61"/>
    <w:rsid w:val="37A91A21"/>
    <w:rsid w:val="37B54F8A"/>
    <w:rsid w:val="37B6543E"/>
    <w:rsid w:val="37BF1413"/>
    <w:rsid w:val="37C449D1"/>
    <w:rsid w:val="37C4673A"/>
    <w:rsid w:val="37C60704"/>
    <w:rsid w:val="37D05B14"/>
    <w:rsid w:val="37D40C43"/>
    <w:rsid w:val="37DC26D6"/>
    <w:rsid w:val="37DD25F1"/>
    <w:rsid w:val="37DF3735"/>
    <w:rsid w:val="37E5069E"/>
    <w:rsid w:val="37E951E1"/>
    <w:rsid w:val="37E96748"/>
    <w:rsid w:val="37EA5A3E"/>
    <w:rsid w:val="37F826E7"/>
    <w:rsid w:val="37F91CEC"/>
    <w:rsid w:val="37FB08FE"/>
    <w:rsid w:val="37FF5633"/>
    <w:rsid w:val="380C7EA9"/>
    <w:rsid w:val="380E296F"/>
    <w:rsid w:val="38146FA4"/>
    <w:rsid w:val="38165FFA"/>
    <w:rsid w:val="381C3FDA"/>
    <w:rsid w:val="381E3961"/>
    <w:rsid w:val="3823366B"/>
    <w:rsid w:val="3826013B"/>
    <w:rsid w:val="38284722"/>
    <w:rsid w:val="38314475"/>
    <w:rsid w:val="3833413E"/>
    <w:rsid w:val="38361395"/>
    <w:rsid w:val="383664A4"/>
    <w:rsid w:val="38392F4F"/>
    <w:rsid w:val="383B08AA"/>
    <w:rsid w:val="383D2393"/>
    <w:rsid w:val="383F2769"/>
    <w:rsid w:val="383F3C2F"/>
    <w:rsid w:val="384218B1"/>
    <w:rsid w:val="3842404A"/>
    <w:rsid w:val="38476BD5"/>
    <w:rsid w:val="384B2F0D"/>
    <w:rsid w:val="38515451"/>
    <w:rsid w:val="385162F2"/>
    <w:rsid w:val="38544229"/>
    <w:rsid w:val="385F3582"/>
    <w:rsid w:val="38644521"/>
    <w:rsid w:val="386872A3"/>
    <w:rsid w:val="38741A6E"/>
    <w:rsid w:val="38741F0E"/>
    <w:rsid w:val="388163D9"/>
    <w:rsid w:val="3882258B"/>
    <w:rsid w:val="38860DEF"/>
    <w:rsid w:val="38903DB9"/>
    <w:rsid w:val="38922916"/>
    <w:rsid w:val="389D7BFD"/>
    <w:rsid w:val="38A86E44"/>
    <w:rsid w:val="38AB0356"/>
    <w:rsid w:val="38AE33CD"/>
    <w:rsid w:val="38BE44A8"/>
    <w:rsid w:val="38C04DA2"/>
    <w:rsid w:val="38C86061"/>
    <w:rsid w:val="38CB4844"/>
    <w:rsid w:val="38CC1D4A"/>
    <w:rsid w:val="38D43BE6"/>
    <w:rsid w:val="38D77214"/>
    <w:rsid w:val="38D80749"/>
    <w:rsid w:val="38D95193"/>
    <w:rsid w:val="38E76B84"/>
    <w:rsid w:val="38EC5F48"/>
    <w:rsid w:val="38F06C04"/>
    <w:rsid w:val="38F1165D"/>
    <w:rsid w:val="38F20CFA"/>
    <w:rsid w:val="38F512A1"/>
    <w:rsid w:val="38FD63A7"/>
    <w:rsid w:val="38FE1C93"/>
    <w:rsid w:val="39060DE7"/>
    <w:rsid w:val="390D513D"/>
    <w:rsid w:val="39142D7D"/>
    <w:rsid w:val="391839AE"/>
    <w:rsid w:val="391B2BD8"/>
    <w:rsid w:val="391E64C7"/>
    <w:rsid w:val="39224C76"/>
    <w:rsid w:val="39233E4E"/>
    <w:rsid w:val="39261CAB"/>
    <w:rsid w:val="39301757"/>
    <w:rsid w:val="393D161B"/>
    <w:rsid w:val="394446F6"/>
    <w:rsid w:val="394B563E"/>
    <w:rsid w:val="39501BFE"/>
    <w:rsid w:val="3950297B"/>
    <w:rsid w:val="395070D2"/>
    <w:rsid w:val="39536F7B"/>
    <w:rsid w:val="396040B2"/>
    <w:rsid w:val="39612BED"/>
    <w:rsid w:val="396B596D"/>
    <w:rsid w:val="396E2FCE"/>
    <w:rsid w:val="3975134A"/>
    <w:rsid w:val="397A4BE9"/>
    <w:rsid w:val="397C3812"/>
    <w:rsid w:val="39820CB4"/>
    <w:rsid w:val="398E0DAD"/>
    <w:rsid w:val="399D2F01"/>
    <w:rsid w:val="39AA0173"/>
    <w:rsid w:val="39AE0B6E"/>
    <w:rsid w:val="39B354FB"/>
    <w:rsid w:val="39B60304"/>
    <w:rsid w:val="39B77C46"/>
    <w:rsid w:val="39BB609B"/>
    <w:rsid w:val="39BC39E1"/>
    <w:rsid w:val="39C009EB"/>
    <w:rsid w:val="39C23064"/>
    <w:rsid w:val="39C83942"/>
    <w:rsid w:val="39CB34CF"/>
    <w:rsid w:val="39D5724E"/>
    <w:rsid w:val="39D94EAB"/>
    <w:rsid w:val="39E23D9E"/>
    <w:rsid w:val="39E2696A"/>
    <w:rsid w:val="39ED1F78"/>
    <w:rsid w:val="39F007F8"/>
    <w:rsid w:val="39F064D2"/>
    <w:rsid w:val="39F57E35"/>
    <w:rsid w:val="39FF67C0"/>
    <w:rsid w:val="3A026D1C"/>
    <w:rsid w:val="3A092B2A"/>
    <w:rsid w:val="3A0B70DD"/>
    <w:rsid w:val="3A122927"/>
    <w:rsid w:val="3A130886"/>
    <w:rsid w:val="3A144792"/>
    <w:rsid w:val="3A15327D"/>
    <w:rsid w:val="3A1B66F8"/>
    <w:rsid w:val="3A1E65D5"/>
    <w:rsid w:val="3A250E51"/>
    <w:rsid w:val="3A285289"/>
    <w:rsid w:val="3A3021C6"/>
    <w:rsid w:val="3A333F34"/>
    <w:rsid w:val="3A3B4112"/>
    <w:rsid w:val="3A3E4582"/>
    <w:rsid w:val="3A492D40"/>
    <w:rsid w:val="3A4B11B3"/>
    <w:rsid w:val="3A553FBD"/>
    <w:rsid w:val="3A582964"/>
    <w:rsid w:val="3A5C56CF"/>
    <w:rsid w:val="3A69259B"/>
    <w:rsid w:val="3A6A580F"/>
    <w:rsid w:val="3A6D2A5B"/>
    <w:rsid w:val="3A703610"/>
    <w:rsid w:val="3A764997"/>
    <w:rsid w:val="3A7E65EE"/>
    <w:rsid w:val="3A873272"/>
    <w:rsid w:val="3A8F74D3"/>
    <w:rsid w:val="3A976388"/>
    <w:rsid w:val="3A981C81"/>
    <w:rsid w:val="3A9A0CF3"/>
    <w:rsid w:val="3A9D7ADE"/>
    <w:rsid w:val="3AA02537"/>
    <w:rsid w:val="3AA17C95"/>
    <w:rsid w:val="3AA560FC"/>
    <w:rsid w:val="3AAD04A5"/>
    <w:rsid w:val="3AB34A86"/>
    <w:rsid w:val="3ABB60E1"/>
    <w:rsid w:val="3ABB71B0"/>
    <w:rsid w:val="3ABC34BB"/>
    <w:rsid w:val="3AD025C0"/>
    <w:rsid w:val="3AD7447B"/>
    <w:rsid w:val="3ADF5BC7"/>
    <w:rsid w:val="3AE34542"/>
    <w:rsid w:val="3AEE0674"/>
    <w:rsid w:val="3AFD268F"/>
    <w:rsid w:val="3B0006D7"/>
    <w:rsid w:val="3B041D4B"/>
    <w:rsid w:val="3B046C64"/>
    <w:rsid w:val="3B1136D3"/>
    <w:rsid w:val="3B1334F5"/>
    <w:rsid w:val="3B137E2F"/>
    <w:rsid w:val="3B184214"/>
    <w:rsid w:val="3B196D9D"/>
    <w:rsid w:val="3B215408"/>
    <w:rsid w:val="3B376996"/>
    <w:rsid w:val="3B382587"/>
    <w:rsid w:val="3B3E26E8"/>
    <w:rsid w:val="3B41116E"/>
    <w:rsid w:val="3B461524"/>
    <w:rsid w:val="3B493E0D"/>
    <w:rsid w:val="3B5351C8"/>
    <w:rsid w:val="3B5A6AC5"/>
    <w:rsid w:val="3B6A6D4E"/>
    <w:rsid w:val="3B6D5FB8"/>
    <w:rsid w:val="3B7018CE"/>
    <w:rsid w:val="3B781052"/>
    <w:rsid w:val="3B7A311A"/>
    <w:rsid w:val="3B7C79D4"/>
    <w:rsid w:val="3B7D54D6"/>
    <w:rsid w:val="3B7F5346"/>
    <w:rsid w:val="3B8761B0"/>
    <w:rsid w:val="3B886FDD"/>
    <w:rsid w:val="3B8B2E43"/>
    <w:rsid w:val="3B8E38EF"/>
    <w:rsid w:val="3B8E4B70"/>
    <w:rsid w:val="3B9A2C35"/>
    <w:rsid w:val="3BA869A8"/>
    <w:rsid w:val="3BA874E3"/>
    <w:rsid w:val="3BAF1050"/>
    <w:rsid w:val="3BB50CC0"/>
    <w:rsid w:val="3BB873C8"/>
    <w:rsid w:val="3BC0505A"/>
    <w:rsid w:val="3BC271A5"/>
    <w:rsid w:val="3BC64405"/>
    <w:rsid w:val="3BCE0DFC"/>
    <w:rsid w:val="3BDF41E5"/>
    <w:rsid w:val="3BE168DD"/>
    <w:rsid w:val="3BE84363"/>
    <w:rsid w:val="3BEA5EA8"/>
    <w:rsid w:val="3BEC6FA1"/>
    <w:rsid w:val="3C093A0F"/>
    <w:rsid w:val="3C0C4298"/>
    <w:rsid w:val="3C0D03A7"/>
    <w:rsid w:val="3C16379A"/>
    <w:rsid w:val="3C1732DC"/>
    <w:rsid w:val="3C18265D"/>
    <w:rsid w:val="3C197EB9"/>
    <w:rsid w:val="3C333AFD"/>
    <w:rsid w:val="3C395948"/>
    <w:rsid w:val="3C5618F4"/>
    <w:rsid w:val="3C6B6E9C"/>
    <w:rsid w:val="3C7B0E6D"/>
    <w:rsid w:val="3C7E247A"/>
    <w:rsid w:val="3C872F58"/>
    <w:rsid w:val="3C872F6F"/>
    <w:rsid w:val="3C8F3154"/>
    <w:rsid w:val="3C9734C5"/>
    <w:rsid w:val="3CA44309"/>
    <w:rsid w:val="3CA64660"/>
    <w:rsid w:val="3CAF3305"/>
    <w:rsid w:val="3CBC349F"/>
    <w:rsid w:val="3CC242D6"/>
    <w:rsid w:val="3CC30CFA"/>
    <w:rsid w:val="3CC41AC7"/>
    <w:rsid w:val="3CC95E4D"/>
    <w:rsid w:val="3CCD5C45"/>
    <w:rsid w:val="3CD00979"/>
    <w:rsid w:val="3CD00E05"/>
    <w:rsid w:val="3CDA588A"/>
    <w:rsid w:val="3CDB43DA"/>
    <w:rsid w:val="3CDD6159"/>
    <w:rsid w:val="3CE533DA"/>
    <w:rsid w:val="3CE5709D"/>
    <w:rsid w:val="3CEA7D2C"/>
    <w:rsid w:val="3CED0C78"/>
    <w:rsid w:val="3CF36027"/>
    <w:rsid w:val="3CF73061"/>
    <w:rsid w:val="3CF9725A"/>
    <w:rsid w:val="3CFA4B94"/>
    <w:rsid w:val="3CFE38DB"/>
    <w:rsid w:val="3D081903"/>
    <w:rsid w:val="3D155924"/>
    <w:rsid w:val="3D271C45"/>
    <w:rsid w:val="3D29358E"/>
    <w:rsid w:val="3D29471C"/>
    <w:rsid w:val="3D3356F8"/>
    <w:rsid w:val="3D353217"/>
    <w:rsid w:val="3D354D63"/>
    <w:rsid w:val="3D3E77B6"/>
    <w:rsid w:val="3D440A53"/>
    <w:rsid w:val="3D4479B7"/>
    <w:rsid w:val="3D497DF1"/>
    <w:rsid w:val="3D4A6A03"/>
    <w:rsid w:val="3D4D72F0"/>
    <w:rsid w:val="3D666C2D"/>
    <w:rsid w:val="3D695DB9"/>
    <w:rsid w:val="3D6A1188"/>
    <w:rsid w:val="3D6C6BE0"/>
    <w:rsid w:val="3D6E76AB"/>
    <w:rsid w:val="3D6F16B5"/>
    <w:rsid w:val="3D702638"/>
    <w:rsid w:val="3D71086D"/>
    <w:rsid w:val="3D7B01EB"/>
    <w:rsid w:val="3D7D20E8"/>
    <w:rsid w:val="3D7F6742"/>
    <w:rsid w:val="3D81538B"/>
    <w:rsid w:val="3D8239C5"/>
    <w:rsid w:val="3D836C86"/>
    <w:rsid w:val="3D837AC4"/>
    <w:rsid w:val="3D8D4077"/>
    <w:rsid w:val="3D8F0CF5"/>
    <w:rsid w:val="3D9B1722"/>
    <w:rsid w:val="3D9E77F7"/>
    <w:rsid w:val="3DA63AB0"/>
    <w:rsid w:val="3DAA25BC"/>
    <w:rsid w:val="3DAA7A97"/>
    <w:rsid w:val="3DAD1933"/>
    <w:rsid w:val="3DB42448"/>
    <w:rsid w:val="3DB62F5D"/>
    <w:rsid w:val="3DBE7C52"/>
    <w:rsid w:val="3DC76F84"/>
    <w:rsid w:val="3DCC537A"/>
    <w:rsid w:val="3DE15FD6"/>
    <w:rsid w:val="3DE23DBE"/>
    <w:rsid w:val="3DE70322"/>
    <w:rsid w:val="3DEB7008"/>
    <w:rsid w:val="3DEE03D8"/>
    <w:rsid w:val="3DF64E9C"/>
    <w:rsid w:val="3DFC1DF3"/>
    <w:rsid w:val="3DFE3ADF"/>
    <w:rsid w:val="3E0233AF"/>
    <w:rsid w:val="3E06237C"/>
    <w:rsid w:val="3E087D12"/>
    <w:rsid w:val="3E194F46"/>
    <w:rsid w:val="3E1C2E2C"/>
    <w:rsid w:val="3E293DBA"/>
    <w:rsid w:val="3E2D5751"/>
    <w:rsid w:val="3E3E719F"/>
    <w:rsid w:val="3E442CEF"/>
    <w:rsid w:val="3E4643E0"/>
    <w:rsid w:val="3E475CD7"/>
    <w:rsid w:val="3E4D1DD2"/>
    <w:rsid w:val="3E4E300F"/>
    <w:rsid w:val="3E503B51"/>
    <w:rsid w:val="3E533823"/>
    <w:rsid w:val="3E570308"/>
    <w:rsid w:val="3E575B49"/>
    <w:rsid w:val="3E5D592E"/>
    <w:rsid w:val="3E612009"/>
    <w:rsid w:val="3E7A4C7F"/>
    <w:rsid w:val="3E7F2D75"/>
    <w:rsid w:val="3E800425"/>
    <w:rsid w:val="3E970512"/>
    <w:rsid w:val="3E993518"/>
    <w:rsid w:val="3EAB7098"/>
    <w:rsid w:val="3EAC59C1"/>
    <w:rsid w:val="3EBE5816"/>
    <w:rsid w:val="3EBF1A09"/>
    <w:rsid w:val="3EC10DDB"/>
    <w:rsid w:val="3EC16CF4"/>
    <w:rsid w:val="3EC32674"/>
    <w:rsid w:val="3EC357DC"/>
    <w:rsid w:val="3EC45C9C"/>
    <w:rsid w:val="3EC4609E"/>
    <w:rsid w:val="3ECB51DE"/>
    <w:rsid w:val="3ECF5824"/>
    <w:rsid w:val="3ED21BFB"/>
    <w:rsid w:val="3ED23658"/>
    <w:rsid w:val="3ED63E10"/>
    <w:rsid w:val="3ED7149E"/>
    <w:rsid w:val="3EDA34ED"/>
    <w:rsid w:val="3EDB3434"/>
    <w:rsid w:val="3EDF09FE"/>
    <w:rsid w:val="3EE03484"/>
    <w:rsid w:val="3EE30692"/>
    <w:rsid w:val="3EE4492D"/>
    <w:rsid w:val="3EEA117C"/>
    <w:rsid w:val="3EFF0C25"/>
    <w:rsid w:val="3F064059"/>
    <w:rsid w:val="3F06588A"/>
    <w:rsid w:val="3F0A2339"/>
    <w:rsid w:val="3F0B62B6"/>
    <w:rsid w:val="3F0C60EB"/>
    <w:rsid w:val="3F122628"/>
    <w:rsid w:val="3F281BFA"/>
    <w:rsid w:val="3F330005"/>
    <w:rsid w:val="3F373CFB"/>
    <w:rsid w:val="3F380631"/>
    <w:rsid w:val="3F424D94"/>
    <w:rsid w:val="3F432832"/>
    <w:rsid w:val="3F433BCF"/>
    <w:rsid w:val="3F4555B3"/>
    <w:rsid w:val="3F5014A3"/>
    <w:rsid w:val="3F6B2E0C"/>
    <w:rsid w:val="3F6B4531"/>
    <w:rsid w:val="3F734EA6"/>
    <w:rsid w:val="3F79325A"/>
    <w:rsid w:val="3F7B118B"/>
    <w:rsid w:val="3F8D3B68"/>
    <w:rsid w:val="3F8E5FAB"/>
    <w:rsid w:val="3F942E96"/>
    <w:rsid w:val="3F9E7D98"/>
    <w:rsid w:val="3F9F0953"/>
    <w:rsid w:val="3FA13EBC"/>
    <w:rsid w:val="3FA75908"/>
    <w:rsid w:val="3FAF13AE"/>
    <w:rsid w:val="3FAF40EE"/>
    <w:rsid w:val="3FB6135C"/>
    <w:rsid w:val="3FB83DA6"/>
    <w:rsid w:val="3FC9219B"/>
    <w:rsid w:val="3FCB4788"/>
    <w:rsid w:val="3FD03946"/>
    <w:rsid w:val="3FD365AC"/>
    <w:rsid w:val="3FD546CC"/>
    <w:rsid w:val="3FD93DEB"/>
    <w:rsid w:val="3FDD05DB"/>
    <w:rsid w:val="3FE241F8"/>
    <w:rsid w:val="3FF926B3"/>
    <w:rsid w:val="3FFE1269"/>
    <w:rsid w:val="40005D26"/>
    <w:rsid w:val="40063D93"/>
    <w:rsid w:val="400D1E1E"/>
    <w:rsid w:val="400F4D7E"/>
    <w:rsid w:val="40171E90"/>
    <w:rsid w:val="40187D98"/>
    <w:rsid w:val="401B7E4E"/>
    <w:rsid w:val="40226727"/>
    <w:rsid w:val="4025391B"/>
    <w:rsid w:val="40273D0A"/>
    <w:rsid w:val="40306FA3"/>
    <w:rsid w:val="403666E0"/>
    <w:rsid w:val="403B11D2"/>
    <w:rsid w:val="404C23FD"/>
    <w:rsid w:val="404C4779"/>
    <w:rsid w:val="4062335F"/>
    <w:rsid w:val="40652CE1"/>
    <w:rsid w:val="40686A85"/>
    <w:rsid w:val="406C4EB9"/>
    <w:rsid w:val="406C66C1"/>
    <w:rsid w:val="406E0941"/>
    <w:rsid w:val="406F398B"/>
    <w:rsid w:val="406F7A31"/>
    <w:rsid w:val="40707B3C"/>
    <w:rsid w:val="40795F0D"/>
    <w:rsid w:val="40833636"/>
    <w:rsid w:val="40904D2B"/>
    <w:rsid w:val="409916FD"/>
    <w:rsid w:val="40997C73"/>
    <w:rsid w:val="40A0438B"/>
    <w:rsid w:val="40A455BF"/>
    <w:rsid w:val="40A92617"/>
    <w:rsid w:val="40AC3B85"/>
    <w:rsid w:val="40C0121B"/>
    <w:rsid w:val="40C13409"/>
    <w:rsid w:val="40C213E8"/>
    <w:rsid w:val="40C603BD"/>
    <w:rsid w:val="40D11CDA"/>
    <w:rsid w:val="40D15BD1"/>
    <w:rsid w:val="40D531AA"/>
    <w:rsid w:val="40E13EB9"/>
    <w:rsid w:val="40E34703"/>
    <w:rsid w:val="40F0283F"/>
    <w:rsid w:val="40F0333B"/>
    <w:rsid w:val="40FA31CC"/>
    <w:rsid w:val="40FB3959"/>
    <w:rsid w:val="40FD5D35"/>
    <w:rsid w:val="40FF472B"/>
    <w:rsid w:val="41046859"/>
    <w:rsid w:val="410B4E94"/>
    <w:rsid w:val="41101469"/>
    <w:rsid w:val="41107E62"/>
    <w:rsid w:val="41163AA2"/>
    <w:rsid w:val="41195CB1"/>
    <w:rsid w:val="41227CEB"/>
    <w:rsid w:val="413D69DA"/>
    <w:rsid w:val="4142704D"/>
    <w:rsid w:val="41450CE9"/>
    <w:rsid w:val="41466639"/>
    <w:rsid w:val="41474664"/>
    <w:rsid w:val="414B2C26"/>
    <w:rsid w:val="414B75E5"/>
    <w:rsid w:val="414D154E"/>
    <w:rsid w:val="414E10CF"/>
    <w:rsid w:val="4151103E"/>
    <w:rsid w:val="41540E6A"/>
    <w:rsid w:val="415655C5"/>
    <w:rsid w:val="415C4600"/>
    <w:rsid w:val="4160684E"/>
    <w:rsid w:val="41617372"/>
    <w:rsid w:val="416A0352"/>
    <w:rsid w:val="41737774"/>
    <w:rsid w:val="4176627C"/>
    <w:rsid w:val="417C45B2"/>
    <w:rsid w:val="417E4D6B"/>
    <w:rsid w:val="4180199E"/>
    <w:rsid w:val="41814315"/>
    <w:rsid w:val="418A7D08"/>
    <w:rsid w:val="41932F9F"/>
    <w:rsid w:val="419772C8"/>
    <w:rsid w:val="419E624E"/>
    <w:rsid w:val="419E7FFC"/>
    <w:rsid w:val="41AA6369"/>
    <w:rsid w:val="41BB0BAE"/>
    <w:rsid w:val="41BC06B2"/>
    <w:rsid w:val="41C462B2"/>
    <w:rsid w:val="41C52D40"/>
    <w:rsid w:val="41C57218"/>
    <w:rsid w:val="41C841FF"/>
    <w:rsid w:val="41CA1ACF"/>
    <w:rsid w:val="41D57840"/>
    <w:rsid w:val="41D72BE4"/>
    <w:rsid w:val="41E0551B"/>
    <w:rsid w:val="41E23D82"/>
    <w:rsid w:val="41E524D5"/>
    <w:rsid w:val="41EE73A5"/>
    <w:rsid w:val="41F22240"/>
    <w:rsid w:val="41FB4312"/>
    <w:rsid w:val="41FB45BE"/>
    <w:rsid w:val="42004812"/>
    <w:rsid w:val="42110C94"/>
    <w:rsid w:val="42146530"/>
    <w:rsid w:val="42150192"/>
    <w:rsid w:val="42197869"/>
    <w:rsid w:val="421E2A12"/>
    <w:rsid w:val="421F0AB6"/>
    <w:rsid w:val="42246753"/>
    <w:rsid w:val="42310E70"/>
    <w:rsid w:val="423307DE"/>
    <w:rsid w:val="423529C0"/>
    <w:rsid w:val="42383FAC"/>
    <w:rsid w:val="424122B0"/>
    <w:rsid w:val="42461FF0"/>
    <w:rsid w:val="42500C84"/>
    <w:rsid w:val="42507548"/>
    <w:rsid w:val="425132C0"/>
    <w:rsid w:val="425863FC"/>
    <w:rsid w:val="42586F02"/>
    <w:rsid w:val="425A4AB7"/>
    <w:rsid w:val="426254CD"/>
    <w:rsid w:val="4262689C"/>
    <w:rsid w:val="4269685C"/>
    <w:rsid w:val="426F7EB7"/>
    <w:rsid w:val="427060F4"/>
    <w:rsid w:val="42733236"/>
    <w:rsid w:val="427742BA"/>
    <w:rsid w:val="427F607F"/>
    <w:rsid w:val="42817701"/>
    <w:rsid w:val="42826FF5"/>
    <w:rsid w:val="4285377B"/>
    <w:rsid w:val="428B14AF"/>
    <w:rsid w:val="42914DFD"/>
    <w:rsid w:val="42925805"/>
    <w:rsid w:val="4295182D"/>
    <w:rsid w:val="429F5CC0"/>
    <w:rsid w:val="42B06238"/>
    <w:rsid w:val="42C310EC"/>
    <w:rsid w:val="42C84EC9"/>
    <w:rsid w:val="42C86193"/>
    <w:rsid w:val="42C927D3"/>
    <w:rsid w:val="42CB6D82"/>
    <w:rsid w:val="42D15E00"/>
    <w:rsid w:val="42D56C60"/>
    <w:rsid w:val="42D6439B"/>
    <w:rsid w:val="42D650E8"/>
    <w:rsid w:val="42D72B5D"/>
    <w:rsid w:val="42D9578F"/>
    <w:rsid w:val="42DC3076"/>
    <w:rsid w:val="42EB4BB4"/>
    <w:rsid w:val="42F04887"/>
    <w:rsid w:val="42FD4B42"/>
    <w:rsid w:val="42FD580A"/>
    <w:rsid w:val="42FE2FAE"/>
    <w:rsid w:val="43064F57"/>
    <w:rsid w:val="430B657E"/>
    <w:rsid w:val="433670AB"/>
    <w:rsid w:val="43376AC0"/>
    <w:rsid w:val="4340481A"/>
    <w:rsid w:val="434103E4"/>
    <w:rsid w:val="43422F8C"/>
    <w:rsid w:val="434370AD"/>
    <w:rsid w:val="43472797"/>
    <w:rsid w:val="435C02A2"/>
    <w:rsid w:val="43601A0D"/>
    <w:rsid w:val="436239D7"/>
    <w:rsid w:val="4366622C"/>
    <w:rsid w:val="43675B3D"/>
    <w:rsid w:val="43686B13"/>
    <w:rsid w:val="436D206B"/>
    <w:rsid w:val="43727992"/>
    <w:rsid w:val="438036BB"/>
    <w:rsid w:val="4385027E"/>
    <w:rsid w:val="43904C5D"/>
    <w:rsid w:val="439478C7"/>
    <w:rsid w:val="439A6E5B"/>
    <w:rsid w:val="439C3258"/>
    <w:rsid w:val="439E3D2E"/>
    <w:rsid w:val="43A20C3C"/>
    <w:rsid w:val="43A30F08"/>
    <w:rsid w:val="43A938E9"/>
    <w:rsid w:val="43B50CE1"/>
    <w:rsid w:val="43C01AE0"/>
    <w:rsid w:val="43D92544"/>
    <w:rsid w:val="43DC0703"/>
    <w:rsid w:val="43DE05AF"/>
    <w:rsid w:val="43E22A74"/>
    <w:rsid w:val="43E50164"/>
    <w:rsid w:val="43E83516"/>
    <w:rsid w:val="43EC32A0"/>
    <w:rsid w:val="43EC79A3"/>
    <w:rsid w:val="43F27CEC"/>
    <w:rsid w:val="43F35977"/>
    <w:rsid w:val="43F53FBC"/>
    <w:rsid w:val="43F95ED0"/>
    <w:rsid w:val="43FE161F"/>
    <w:rsid w:val="4404682D"/>
    <w:rsid w:val="44087699"/>
    <w:rsid w:val="44157403"/>
    <w:rsid w:val="441B7748"/>
    <w:rsid w:val="441F3676"/>
    <w:rsid w:val="44232529"/>
    <w:rsid w:val="44286126"/>
    <w:rsid w:val="44291A11"/>
    <w:rsid w:val="442952AF"/>
    <w:rsid w:val="442E5178"/>
    <w:rsid w:val="44305C06"/>
    <w:rsid w:val="44313220"/>
    <w:rsid w:val="44317B41"/>
    <w:rsid w:val="44385A03"/>
    <w:rsid w:val="443D75D5"/>
    <w:rsid w:val="443F5B94"/>
    <w:rsid w:val="44490EC7"/>
    <w:rsid w:val="444F0625"/>
    <w:rsid w:val="4453331F"/>
    <w:rsid w:val="445E7FCA"/>
    <w:rsid w:val="445F21E2"/>
    <w:rsid w:val="44622AB3"/>
    <w:rsid w:val="44624019"/>
    <w:rsid w:val="44670B79"/>
    <w:rsid w:val="44797688"/>
    <w:rsid w:val="447A63CB"/>
    <w:rsid w:val="447B4DF4"/>
    <w:rsid w:val="447D2F03"/>
    <w:rsid w:val="44837D63"/>
    <w:rsid w:val="44890AEF"/>
    <w:rsid w:val="448A5BEC"/>
    <w:rsid w:val="448C7E60"/>
    <w:rsid w:val="448E4EEF"/>
    <w:rsid w:val="4492209A"/>
    <w:rsid w:val="449328E0"/>
    <w:rsid w:val="449C3A25"/>
    <w:rsid w:val="44A554FE"/>
    <w:rsid w:val="44A6565C"/>
    <w:rsid w:val="44A94BA1"/>
    <w:rsid w:val="44AC240A"/>
    <w:rsid w:val="44B17B02"/>
    <w:rsid w:val="44B32010"/>
    <w:rsid w:val="44B32FC7"/>
    <w:rsid w:val="44BA5AE5"/>
    <w:rsid w:val="44BC76AC"/>
    <w:rsid w:val="44C474F3"/>
    <w:rsid w:val="44C61CEB"/>
    <w:rsid w:val="44C919D3"/>
    <w:rsid w:val="44CE17B4"/>
    <w:rsid w:val="44CE310C"/>
    <w:rsid w:val="44CF2A27"/>
    <w:rsid w:val="44D04970"/>
    <w:rsid w:val="44DD12BC"/>
    <w:rsid w:val="44E525F4"/>
    <w:rsid w:val="44F43A19"/>
    <w:rsid w:val="44F83D79"/>
    <w:rsid w:val="44F85504"/>
    <w:rsid w:val="44FC6117"/>
    <w:rsid w:val="45003B52"/>
    <w:rsid w:val="45010C78"/>
    <w:rsid w:val="45074F80"/>
    <w:rsid w:val="450C373D"/>
    <w:rsid w:val="451F4CF5"/>
    <w:rsid w:val="45225C2B"/>
    <w:rsid w:val="452D56CA"/>
    <w:rsid w:val="4535445C"/>
    <w:rsid w:val="4537378A"/>
    <w:rsid w:val="454113CA"/>
    <w:rsid w:val="454A1326"/>
    <w:rsid w:val="454B3BF6"/>
    <w:rsid w:val="454B7C59"/>
    <w:rsid w:val="454D6373"/>
    <w:rsid w:val="45516718"/>
    <w:rsid w:val="4556390B"/>
    <w:rsid w:val="455D1A14"/>
    <w:rsid w:val="4560797E"/>
    <w:rsid w:val="45615055"/>
    <w:rsid w:val="456421A0"/>
    <w:rsid w:val="456B4699"/>
    <w:rsid w:val="45774DEB"/>
    <w:rsid w:val="45874A91"/>
    <w:rsid w:val="45887087"/>
    <w:rsid w:val="458A4B1F"/>
    <w:rsid w:val="45905EAD"/>
    <w:rsid w:val="4592242B"/>
    <w:rsid w:val="459A1EAC"/>
    <w:rsid w:val="45A007E6"/>
    <w:rsid w:val="45A0464D"/>
    <w:rsid w:val="45AB429E"/>
    <w:rsid w:val="45AC39D4"/>
    <w:rsid w:val="45B06149"/>
    <w:rsid w:val="45B822D5"/>
    <w:rsid w:val="45C30031"/>
    <w:rsid w:val="45C54AD2"/>
    <w:rsid w:val="45C56277"/>
    <w:rsid w:val="45C7537D"/>
    <w:rsid w:val="45CA7611"/>
    <w:rsid w:val="45DB537A"/>
    <w:rsid w:val="45DD5596"/>
    <w:rsid w:val="45DD5EBB"/>
    <w:rsid w:val="45E02705"/>
    <w:rsid w:val="45EB070A"/>
    <w:rsid w:val="45F21EC0"/>
    <w:rsid w:val="45F23E7C"/>
    <w:rsid w:val="45F8529A"/>
    <w:rsid w:val="45FA6497"/>
    <w:rsid w:val="460D5750"/>
    <w:rsid w:val="460E501B"/>
    <w:rsid w:val="46136504"/>
    <w:rsid w:val="46242C3D"/>
    <w:rsid w:val="4626335F"/>
    <w:rsid w:val="462B6B07"/>
    <w:rsid w:val="462E414C"/>
    <w:rsid w:val="462E7BA0"/>
    <w:rsid w:val="46346F9B"/>
    <w:rsid w:val="464D1F37"/>
    <w:rsid w:val="46502DB4"/>
    <w:rsid w:val="4651388E"/>
    <w:rsid w:val="46555799"/>
    <w:rsid w:val="46574D09"/>
    <w:rsid w:val="46584C1D"/>
    <w:rsid w:val="465B470D"/>
    <w:rsid w:val="465D0485"/>
    <w:rsid w:val="465F29CA"/>
    <w:rsid w:val="46635FA3"/>
    <w:rsid w:val="4665558C"/>
    <w:rsid w:val="467D73B8"/>
    <w:rsid w:val="467F664E"/>
    <w:rsid w:val="468D0051"/>
    <w:rsid w:val="46941194"/>
    <w:rsid w:val="46971BE9"/>
    <w:rsid w:val="4698326B"/>
    <w:rsid w:val="46985C8C"/>
    <w:rsid w:val="469D049F"/>
    <w:rsid w:val="469E32D0"/>
    <w:rsid w:val="46AA0F5E"/>
    <w:rsid w:val="46AA2F9F"/>
    <w:rsid w:val="46AE0CE1"/>
    <w:rsid w:val="46B209E5"/>
    <w:rsid w:val="46C71F4F"/>
    <w:rsid w:val="46DE5A21"/>
    <w:rsid w:val="46E315E3"/>
    <w:rsid w:val="46E43EB6"/>
    <w:rsid w:val="46E75FA1"/>
    <w:rsid w:val="46EA0C2D"/>
    <w:rsid w:val="46EC132E"/>
    <w:rsid w:val="46F715DF"/>
    <w:rsid w:val="46FA5CD4"/>
    <w:rsid w:val="46FD7042"/>
    <w:rsid w:val="4703102D"/>
    <w:rsid w:val="47044DA5"/>
    <w:rsid w:val="47060EBA"/>
    <w:rsid w:val="471A6EA0"/>
    <w:rsid w:val="472040CA"/>
    <w:rsid w:val="472114B3"/>
    <w:rsid w:val="47266465"/>
    <w:rsid w:val="47267B93"/>
    <w:rsid w:val="472D7818"/>
    <w:rsid w:val="472E3BD0"/>
    <w:rsid w:val="473562AA"/>
    <w:rsid w:val="47376F28"/>
    <w:rsid w:val="47394A4E"/>
    <w:rsid w:val="473E757B"/>
    <w:rsid w:val="47407213"/>
    <w:rsid w:val="474405E7"/>
    <w:rsid w:val="474535DF"/>
    <w:rsid w:val="47460F19"/>
    <w:rsid w:val="4757734F"/>
    <w:rsid w:val="476830B8"/>
    <w:rsid w:val="47694090"/>
    <w:rsid w:val="476C3D4B"/>
    <w:rsid w:val="476D7738"/>
    <w:rsid w:val="47737E6B"/>
    <w:rsid w:val="4774740A"/>
    <w:rsid w:val="477736ED"/>
    <w:rsid w:val="47777325"/>
    <w:rsid w:val="47961EA1"/>
    <w:rsid w:val="47A40CFB"/>
    <w:rsid w:val="47AA6E66"/>
    <w:rsid w:val="47AB5220"/>
    <w:rsid w:val="47AD5EC8"/>
    <w:rsid w:val="47B70069"/>
    <w:rsid w:val="47BE31A6"/>
    <w:rsid w:val="47C4602C"/>
    <w:rsid w:val="47D4429C"/>
    <w:rsid w:val="47D604EF"/>
    <w:rsid w:val="47DE1B03"/>
    <w:rsid w:val="47DE73A4"/>
    <w:rsid w:val="47E5627B"/>
    <w:rsid w:val="47F14895"/>
    <w:rsid w:val="47F16454"/>
    <w:rsid w:val="47F923BF"/>
    <w:rsid w:val="47FA73AB"/>
    <w:rsid w:val="47FA7A24"/>
    <w:rsid w:val="47FB7F56"/>
    <w:rsid w:val="480706A9"/>
    <w:rsid w:val="480C5E65"/>
    <w:rsid w:val="480D7252"/>
    <w:rsid w:val="480F1C53"/>
    <w:rsid w:val="480F527E"/>
    <w:rsid w:val="48174BC3"/>
    <w:rsid w:val="481877E0"/>
    <w:rsid w:val="48265822"/>
    <w:rsid w:val="482A083B"/>
    <w:rsid w:val="48364374"/>
    <w:rsid w:val="48390A7E"/>
    <w:rsid w:val="483C25BE"/>
    <w:rsid w:val="48425C54"/>
    <w:rsid w:val="48463932"/>
    <w:rsid w:val="484A46B6"/>
    <w:rsid w:val="484B3009"/>
    <w:rsid w:val="4864132D"/>
    <w:rsid w:val="487641E4"/>
    <w:rsid w:val="48784477"/>
    <w:rsid w:val="4878771C"/>
    <w:rsid w:val="48795C3D"/>
    <w:rsid w:val="487B0BA9"/>
    <w:rsid w:val="487B7963"/>
    <w:rsid w:val="487E4E90"/>
    <w:rsid w:val="487F4532"/>
    <w:rsid w:val="48800C96"/>
    <w:rsid w:val="48861D78"/>
    <w:rsid w:val="488E3A99"/>
    <w:rsid w:val="488E6BFC"/>
    <w:rsid w:val="489108BA"/>
    <w:rsid w:val="48963E39"/>
    <w:rsid w:val="489A7AC3"/>
    <w:rsid w:val="48A2643E"/>
    <w:rsid w:val="48A56114"/>
    <w:rsid w:val="48AA0A78"/>
    <w:rsid w:val="48B842A3"/>
    <w:rsid w:val="48B92B49"/>
    <w:rsid w:val="48C0355E"/>
    <w:rsid w:val="48C4009B"/>
    <w:rsid w:val="48C941EC"/>
    <w:rsid w:val="48CC1561"/>
    <w:rsid w:val="48CE0850"/>
    <w:rsid w:val="48D126D5"/>
    <w:rsid w:val="48DB04AC"/>
    <w:rsid w:val="48DD2367"/>
    <w:rsid w:val="48DF252D"/>
    <w:rsid w:val="48E22EC4"/>
    <w:rsid w:val="48EB3899"/>
    <w:rsid w:val="48ED6826"/>
    <w:rsid w:val="48F53221"/>
    <w:rsid w:val="48F53772"/>
    <w:rsid w:val="48F70FE8"/>
    <w:rsid w:val="48F824C5"/>
    <w:rsid w:val="48F827E3"/>
    <w:rsid w:val="48FB212D"/>
    <w:rsid w:val="48FF0FF8"/>
    <w:rsid w:val="49033EF2"/>
    <w:rsid w:val="4906468E"/>
    <w:rsid w:val="490B6ACD"/>
    <w:rsid w:val="490C7C03"/>
    <w:rsid w:val="491732BD"/>
    <w:rsid w:val="491D5DE4"/>
    <w:rsid w:val="492341ED"/>
    <w:rsid w:val="49263314"/>
    <w:rsid w:val="492C3A7D"/>
    <w:rsid w:val="492D128D"/>
    <w:rsid w:val="492F6631"/>
    <w:rsid w:val="49315D25"/>
    <w:rsid w:val="49396D26"/>
    <w:rsid w:val="49413D93"/>
    <w:rsid w:val="49474EEF"/>
    <w:rsid w:val="49507E2D"/>
    <w:rsid w:val="49534F10"/>
    <w:rsid w:val="4959557A"/>
    <w:rsid w:val="495C608A"/>
    <w:rsid w:val="495D6F5E"/>
    <w:rsid w:val="496048BF"/>
    <w:rsid w:val="497B133A"/>
    <w:rsid w:val="49832A47"/>
    <w:rsid w:val="49913E19"/>
    <w:rsid w:val="4995670B"/>
    <w:rsid w:val="49957F36"/>
    <w:rsid w:val="49982976"/>
    <w:rsid w:val="49A23C16"/>
    <w:rsid w:val="49A46B38"/>
    <w:rsid w:val="49A506FB"/>
    <w:rsid w:val="49A801DE"/>
    <w:rsid w:val="49A875A7"/>
    <w:rsid w:val="49AB6F31"/>
    <w:rsid w:val="49AF5693"/>
    <w:rsid w:val="49B10677"/>
    <w:rsid w:val="49B25AD5"/>
    <w:rsid w:val="49B73686"/>
    <w:rsid w:val="49BB71D0"/>
    <w:rsid w:val="49BC7BA4"/>
    <w:rsid w:val="49BE5DD7"/>
    <w:rsid w:val="49C923D1"/>
    <w:rsid w:val="49CE6D9B"/>
    <w:rsid w:val="49CF51F6"/>
    <w:rsid w:val="49E609F9"/>
    <w:rsid w:val="49E862B8"/>
    <w:rsid w:val="49EA0019"/>
    <w:rsid w:val="49ED7C34"/>
    <w:rsid w:val="49EE5DAC"/>
    <w:rsid w:val="49F0682B"/>
    <w:rsid w:val="49FD1153"/>
    <w:rsid w:val="4A020C24"/>
    <w:rsid w:val="4A033432"/>
    <w:rsid w:val="4A0619B4"/>
    <w:rsid w:val="4A0A1551"/>
    <w:rsid w:val="4A0C644A"/>
    <w:rsid w:val="4A104CB9"/>
    <w:rsid w:val="4A1E7F2C"/>
    <w:rsid w:val="4A216326"/>
    <w:rsid w:val="4A270F0A"/>
    <w:rsid w:val="4A2D6563"/>
    <w:rsid w:val="4A2E1C31"/>
    <w:rsid w:val="4A2E32A3"/>
    <w:rsid w:val="4A315EB1"/>
    <w:rsid w:val="4A32065A"/>
    <w:rsid w:val="4A3272B9"/>
    <w:rsid w:val="4A365275"/>
    <w:rsid w:val="4A366A71"/>
    <w:rsid w:val="4A3759FB"/>
    <w:rsid w:val="4A39474E"/>
    <w:rsid w:val="4A3E7347"/>
    <w:rsid w:val="4A415469"/>
    <w:rsid w:val="4A466013"/>
    <w:rsid w:val="4A4703AD"/>
    <w:rsid w:val="4A4F0872"/>
    <w:rsid w:val="4A50757D"/>
    <w:rsid w:val="4A603B0C"/>
    <w:rsid w:val="4A693191"/>
    <w:rsid w:val="4A6D30B0"/>
    <w:rsid w:val="4A6D6353"/>
    <w:rsid w:val="4A727EEF"/>
    <w:rsid w:val="4A784962"/>
    <w:rsid w:val="4A7A3095"/>
    <w:rsid w:val="4A7A7858"/>
    <w:rsid w:val="4A885303"/>
    <w:rsid w:val="4A8D743C"/>
    <w:rsid w:val="4A8E7C5F"/>
    <w:rsid w:val="4A933BA6"/>
    <w:rsid w:val="4A934476"/>
    <w:rsid w:val="4A9707E9"/>
    <w:rsid w:val="4A9B2205"/>
    <w:rsid w:val="4AA24E28"/>
    <w:rsid w:val="4AAE12AF"/>
    <w:rsid w:val="4AAE2BA0"/>
    <w:rsid w:val="4AAF14FC"/>
    <w:rsid w:val="4AC073AD"/>
    <w:rsid w:val="4AC30AA9"/>
    <w:rsid w:val="4AC40A8E"/>
    <w:rsid w:val="4AC8452F"/>
    <w:rsid w:val="4ACC7988"/>
    <w:rsid w:val="4AD64BDE"/>
    <w:rsid w:val="4ADB54B5"/>
    <w:rsid w:val="4ADC6E25"/>
    <w:rsid w:val="4ADD50B6"/>
    <w:rsid w:val="4AE603A9"/>
    <w:rsid w:val="4AE922E8"/>
    <w:rsid w:val="4AEB5669"/>
    <w:rsid w:val="4AED1C3C"/>
    <w:rsid w:val="4AEE3DA2"/>
    <w:rsid w:val="4AF3493E"/>
    <w:rsid w:val="4AF47FF8"/>
    <w:rsid w:val="4AFB0293"/>
    <w:rsid w:val="4B02073C"/>
    <w:rsid w:val="4B03536E"/>
    <w:rsid w:val="4B094E68"/>
    <w:rsid w:val="4B0B04B0"/>
    <w:rsid w:val="4B285BCE"/>
    <w:rsid w:val="4B2C0AA4"/>
    <w:rsid w:val="4B2C50EC"/>
    <w:rsid w:val="4B2F61C5"/>
    <w:rsid w:val="4B306168"/>
    <w:rsid w:val="4B364C50"/>
    <w:rsid w:val="4B3C0B72"/>
    <w:rsid w:val="4B3D766B"/>
    <w:rsid w:val="4B4D6B0F"/>
    <w:rsid w:val="4B523C4F"/>
    <w:rsid w:val="4B5A31E5"/>
    <w:rsid w:val="4B5C42AF"/>
    <w:rsid w:val="4B6776B0"/>
    <w:rsid w:val="4B6823BF"/>
    <w:rsid w:val="4B6E1145"/>
    <w:rsid w:val="4B7122DD"/>
    <w:rsid w:val="4B756F90"/>
    <w:rsid w:val="4B7A2CE6"/>
    <w:rsid w:val="4B7B2738"/>
    <w:rsid w:val="4B7E65EE"/>
    <w:rsid w:val="4B8429FF"/>
    <w:rsid w:val="4B99672D"/>
    <w:rsid w:val="4BA94486"/>
    <w:rsid w:val="4BAC031F"/>
    <w:rsid w:val="4BAF0EE8"/>
    <w:rsid w:val="4BAF1D6D"/>
    <w:rsid w:val="4BAF4122"/>
    <w:rsid w:val="4BBA607F"/>
    <w:rsid w:val="4BC26AB9"/>
    <w:rsid w:val="4BC40EEC"/>
    <w:rsid w:val="4BC5067B"/>
    <w:rsid w:val="4BC813BB"/>
    <w:rsid w:val="4BCD56DB"/>
    <w:rsid w:val="4BCF1134"/>
    <w:rsid w:val="4BD016F9"/>
    <w:rsid w:val="4BD91994"/>
    <w:rsid w:val="4BEA1E3C"/>
    <w:rsid w:val="4BEB02E1"/>
    <w:rsid w:val="4BF076A6"/>
    <w:rsid w:val="4BF46A78"/>
    <w:rsid w:val="4BF51CF2"/>
    <w:rsid w:val="4BF551AC"/>
    <w:rsid w:val="4BFF5E58"/>
    <w:rsid w:val="4C05305C"/>
    <w:rsid w:val="4C09229B"/>
    <w:rsid w:val="4C1945D9"/>
    <w:rsid w:val="4C1C7A3A"/>
    <w:rsid w:val="4C24151A"/>
    <w:rsid w:val="4C277271"/>
    <w:rsid w:val="4C29284F"/>
    <w:rsid w:val="4C2E09A1"/>
    <w:rsid w:val="4C2E604C"/>
    <w:rsid w:val="4C327CBE"/>
    <w:rsid w:val="4C373527"/>
    <w:rsid w:val="4C37420D"/>
    <w:rsid w:val="4C387642"/>
    <w:rsid w:val="4C3F2455"/>
    <w:rsid w:val="4C433A03"/>
    <w:rsid w:val="4C4579F5"/>
    <w:rsid w:val="4C46159D"/>
    <w:rsid w:val="4C546F7C"/>
    <w:rsid w:val="4C593CCD"/>
    <w:rsid w:val="4C642361"/>
    <w:rsid w:val="4C672400"/>
    <w:rsid w:val="4C6E6F76"/>
    <w:rsid w:val="4C782EE8"/>
    <w:rsid w:val="4C7B1C4F"/>
    <w:rsid w:val="4C813940"/>
    <w:rsid w:val="4C82170B"/>
    <w:rsid w:val="4C90265A"/>
    <w:rsid w:val="4C966090"/>
    <w:rsid w:val="4C96649F"/>
    <w:rsid w:val="4C975C09"/>
    <w:rsid w:val="4CA07E0E"/>
    <w:rsid w:val="4CA27A2B"/>
    <w:rsid w:val="4CA32712"/>
    <w:rsid w:val="4CA75415"/>
    <w:rsid w:val="4CA75A6F"/>
    <w:rsid w:val="4CAC1B7B"/>
    <w:rsid w:val="4CAD6543"/>
    <w:rsid w:val="4CAE5A96"/>
    <w:rsid w:val="4CB410CA"/>
    <w:rsid w:val="4CB51F7F"/>
    <w:rsid w:val="4CB6388E"/>
    <w:rsid w:val="4CB91657"/>
    <w:rsid w:val="4CBE4EFA"/>
    <w:rsid w:val="4CD863CA"/>
    <w:rsid w:val="4CD97D91"/>
    <w:rsid w:val="4CDB27C5"/>
    <w:rsid w:val="4CE4786A"/>
    <w:rsid w:val="4CE94E32"/>
    <w:rsid w:val="4CF86D51"/>
    <w:rsid w:val="4CF9518A"/>
    <w:rsid w:val="4CF95EDD"/>
    <w:rsid w:val="4D0709F4"/>
    <w:rsid w:val="4D0836B7"/>
    <w:rsid w:val="4D246596"/>
    <w:rsid w:val="4D254174"/>
    <w:rsid w:val="4D331E6F"/>
    <w:rsid w:val="4D38311B"/>
    <w:rsid w:val="4D40640B"/>
    <w:rsid w:val="4D416A8E"/>
    <w:rsid w:val="4D4759EB"/>
    <w:rsid w:val="4D5569F6"/>
    <w:rsid w:val="4D574D55"/>
    <w:rsid w:val="4D5D05E7"/>
    <w:rsid w:val="4D6B16DA"/>
    <w:rsid w:val="4D835E8F"/>
    <w:rsid w:val="4D8E5BDC"/>
    <w:rsid w:val="4D8F5E2D"/>
    <w:rsid w:val="4D924646"/>
    <w:rsid w:val="4D930C30"/>
    <w:rsid w:val="4D967BA2"/>
    <w:rsid w:val="4D9D7348"/>
    <w:rsid w:val="4DA26663"/>
    <w:rsid w:val="4DA26CF3"/>
    <w:rsid w:val="4DA30E74"/>
    <w:rsid w:val="4DA56C37"/>
    <w:rsid w:val="4DAB67CB"/>
    <w:rsid w:val="4DAB681E"/>
    <w:rsid w:val="4DBA3C77"/>
    <w:rsid w:val="4DC33E77"/>
    <w:rsid w:val="4DC72703"/>
    <w:rsid w:val="4DCD751B"/>
    <w:rsid w:val="4DD7415C"/>
    <w:rsid w:val="4DDF1FCF"/>
    <w:rsid w:val="4DF01BDF"/>
    <w:rsid w:val="4DF05A6C"/>
    <w:rsid w:val="4DF15BC9"/>
    <w:rsid w:val="4DFD5DB4"/>
    <w:rsid w:val="4DFF06BA"/>
    <w:rsid w:val="4DFF3A5E"/>
    <w:rsid w:val="4E197388"/>
    <w:rsid w:val="4E1B0225"/>
    <w:rsid w:val="4E1E5D83"/>
    <w:rsid w:val="4E20513D"/>
    <w:rsid w:val="4E217891"/>
    <w:rsid w:val="4E223D9C"/>
    <w:rsid w:val="4E2823DC"/>
    <w:rsid w:val="4E393586"/>
    <w:rsid w:val="4E3E18F6"/>
    <w:rsid w:val="4E446937"/>
    <w:rsid w:val="4E464252"/>
    <w:rsid w:val="4E50210E"/>
    <w:rsid w:val="4E5309B2"/>
    <w:rsid w:val="4E551E80"/>
    <w:rsid w:val="4E5959D6"/>
    <w:rsid w:val="4E5B0015"/>
    <w:rsid w:val="4E5B5748"/>
    <w:rsid w:val="4E5C06C5"/>
    <w:rsid w:val="4E5D6ED5"/>
    <w:rsid w:val="4E604FB7"/>
    <w:rsid w:val="4E685C19"/>
    <w:rsid w:val="4E6B531F"/>
    <w:rsid w:val="4E6E507E"/>
    <w:rsid w:val="4E700785"/>
    <w:rsid w:val="4E743B31"/>
    <w:rsid w:val="4E75450E"/>
    <w:rsid w:val="4E786627"/>
    <w:rsid w:val="4E7907CD"/>
    <w:rsid w:val="4E7E55C2"/>
    <w:rsid w:val="4E865B5B"/>
    <w:rsid w:val="4E8C7CB0"/>
    <w:rsid w:val="4E8D0A98"/>
    <w:rsid w:val="4E913B29"/>
    <w:rsid w:val="4E920EE8"/>
    <w:rsid w:val="4E9609D8"/>
    <w:rsid w:val="4E9F4246"/>
    <w:rsid w:val="4EAC0887"/>
    <w:rsid w:val="4EAD20A9"/>
    <w:rsid w:val="4EB2450D"/>
    <w:rsid w:val="4EB3433D"/>
    <w:rsid w:val="4EB40E5E"/>
    <w:rsid w:val="4EB44627"/>
    <w:rsid w:val="4EBA0B90"/>
    <w:rsid w:val="4EBB043F"/>
    <w:rsid w:val="4EBF33F9"/>
    <w:rsid w:val="4ED33DC1"/>
    <w:rsid w:val="4ED36519"/>
    <w:rsid w:val="4ED44E66"/>
    <w:rsid w:val="4EDA5784"/>
    <w:rsid w:val="4EE3017A"/>
    <w:rsid w:val="4EE71234"/>
    <w:rsid w:val="4EE848F9"/>
    <w:rsid w:val="4EEC245B"/>
    <w:rsid w:val="4EEE1843"/>
    <w:rsid w:val="4EEE2928"/>
    <w:rsid w:val="4EF76996"/>
    <w:rsid w:val="4EFC595C"/>
    <w:rsid w:val="4F005E52"/>
    <w:rsid w:val="4F2071B5"/>
    <w:rsid w:val="4F257649"/>
    <w:rsid w:val="4F2F2851"/>
    <w:rsid w:val="4F2F64B7"/>
    <w:rsid w:val="4F310701"/>
    <w:rsid w:val="4F3501F1"/>
    <w:rsid w:val="4F3855EC"/>
    <w:rsid w:val="4F3D70A6"/>
    <w:rsid w:val="4F3E2787"/>
    <w:rsid w:val="4F4052CE"/>
    <w:rsid w:val="4F4245EF"/>
    <w:rsid w:val="4F473543"/>
    <w:rsid w:val="4F4A0F4D"/>
    <w:rsid w:val="4F583EE0"/>
    <w:rsid w:val="4F585C8E"/>
    <w:rsid w:val="4F5A49CF"/>
    <w:rsid w:val="4F6873A0"/>
    <w:rsid w:val="4F767306"/>
    <w:rsid w:val="4F7972B8"/>
    <w:rsid w:val="4F7C0022"/>
    <w:rsid w:val="4F7F2691"/>
    <w:rsid w:val="4F8439B9"/>
    <w:rsid w:val="4F8A04B4"/>
    <w:rsid w:val="4F8B0F78"/>
    <w:rsid w:val="4F8B72E8"/>
    <w:rsid w:val="4F8E5B53"/>
    <w:rsid w:val="4F90042E"/>
    <w:rsid w:val="4F963398"/>
    <w:rsid w:val="4F9A34F0"/>
    <w:rsid w:val="4F9E31D8"/>
    <w:rsid w:val="4FAB04B3"/>
    <w:rsid w:val="4FAE7BA5"/>
    <w:rsid w:val="4FB37368"/>
    <w:rsid w:val="4FB53E2C"/>
    <w:rsid w:val="4FB629B4"/>
    <w:rsid w:val="4FBB18A9"/>
    <w:rsid w:val="4FBE01EF"/>
    <w:rsid w:val="4FC20AC1"/>
    <w:rsid w:val="4FCF17E9"/>
    <w:rsid w:val="4FD03A76"/>
    <w:rsid w:val="4FD05C75"/>
    <w:rsid w:val="4FE705A5"/>
    <w:rsid w:val="4FEC0414"/>
    <w:rsid w:val="4FF1565B"/>
    <w:rsid w:val="4FF61E21"/>
    <w:rsid w:val="4FF9322F"/>
    <w:rsid w:val="4FF956FE"/>
    <w:rsid w:val="4FFC234B"/>
    <w:rsid w:val="500020FA"/>
    <w:rsid w:val="500B3392"/>
    <w:rsid w:val="500D4CCA"/>
    <w:rsid w:val="501778F7"/>
    <w:rsid w:val="50181C57"/>
    <w:rsid w:val="5020303D"/>
    <w:rsid w:val="502F3376"/>
    <w:rsid w:val="503216F3"/>
    <w:rsid w:val="5033321C"/>
    <w:rsid w:val="50395ABF"/>
    <w:rsid w:val="503F0873"/>
    <w:rsid w:val="503F4CC2"/>
    <w:rsid w:val="50405EF0"/>
    <w:rsid w:val="50436746"/>
    <w:rsid w:val="50485D02"/>
    <w:rsid w:val="50502E09"/>
    <w:rsid w:val="5051235E"/>
    <w:rsid w:val="50527F4B"/>
    <w:rsid w:val="5053184F"/>
    <w:rsid w:val="505F5CE0"/>
    <w:rsid w:val="5075088E"/>
    <w:rsid w:val="507765E7"/>
    <w:rsid w:val="50885775"/>
    <w:rsid w:val="509666CA"/>
    <w:rsid w:val="509F1A7E"/>
    <w:rsid w:val="50A1367F"/>
    <w:rsid w:val="50AE4B80"/>
    <w:rsid w:val="50B43432"/>
    <w:rsid w:val="50BA1D2D"/>
    <w:rsid w:val="50BB4726"/>
    <w:rsid w:val="50BD417E"/>
    <w:rsid w:val="50C02AD7"/>
    <w:rsid w:val="50C730CB"/>
    <w:rsid w:val="50CA7108"/>
    <w:rsid w:val="50CD3D9E"/>
    <w:rsid w:val="50CE5390"/>
    <w:rsid w:val="50CE6994"/>
    <w:rsid w:val="50DB7B18"/>
    <w:rsid w:val="50EB5DB4"/>
    <w:rsid w:val="50EC32F9"/>
    <w:rsid w:val="50F22376"/>
    <w:rsid w:val="50F433AA"/>
    <w:rsid w:val="50F639B0"/>
    <w:rsid w:val="50FC0F69"/>
    <w:rsid w:val="510E463D"/>
    <w:rsid w:val="510F5E1F"/>
    <w:rsid w:val="511A2B55"/>
    <w:rsid w:val="511B2687"/>
    <w:rsid w:val="51220301"/>
    <w:rsid w:val="512D06C4"/>
    <w:rsid w:val="5138263A"/>
    <w:rsid w:val="513F10D7"/>
    <w:rsid w:val="5140767C"/>
    <w:rsid w:val="514364CA"/>
    <w:rsid w:val="51471514"/>
    <w:rsid w:val="514C38C7"/>
    <w:rsid w:val="51550B80"/>
    <w:rsid w:val="515B1A65"/>
    <w:rsid w:val="515D758B"/>
    <w:rsid w:val="51617008"/>
    <w:rsid w:val="51631D27"/>
    <w:rsid w:val="516C3C72"/>
    <w:rsid w:val="516F3A38"/>
    <w:rsid w:val="516F5937"/>
    <w:rsid w:val="51705B93"/>
    <w:rsid w:val="51727165"/>
    <w:rsid w:val="5176064D"/>
    <w:rsid w:val="517E75B5"/>
    <w:rsid w:val="51807A5C"/>
    <w:rsid w:val="51837C7D"/>
    <w:rsid w:val="5187285A"/>
    <w:rsid w:val="518B434F"/>
    <w:rsid w:val="51903629"/>
    <w:rsid w:val="5192484D"/>
    <w:rsid w:val="519576A4"/>
    <w:rsid w:val="51980264"/>
    <w:rsid w:val="519D5463"/>
    <w:rsid w:val="51A14596"/>
    <w:rsid w:val="51A302FB"/>
    <w:rsid w:val="51AE5403"/>
    <w:rsid w:val="51B92570"/>
    <w:rsid w:val="51BC0756"/>
    <w:rsid w:val="51C07B1A"/>
    <w:rsid w:val="51C43C64"/>
    <w:rsid w:val="51C67C86"/>
    <w:rsid w:val="51D728EA"/>
    <w:rsid w:val="51EA7AAC"/>
    <w:rsid w:val="51F2508F"/>
    <w:rsid w:val="51F25DB9"/>
    <w:rsid w:val="51FD48CA"/>
    <w:rsid w:val="51FF5ADA"/>
    <w:rsid w:val="52071291"/>
    <w:rsid w:val="520A77FD"/>
    <w:rsid w:val="520C5736"/>
    <w:rsid w:val="520E20CC"/>
    <w:rsid w:val="520F75DE"/>
    <w:rsid w:val="52102267"/>
    <w:rsid w:val="5217363B"/>
    <w:rsid w:val="5218470B"/>
    <w:rsid w:val="5223448C"/>
    <w:rsid w:val="52285DEB"/>
    <w:rsid w:val="523714A5"/>
    <w:rsid w:val="523869C3"/>
    <w:rsid w:val="523879EB"/>
    <w:rsid w:val="524349D3"/>
    <w:rsid w:val="52470F74"/>
    <w:rsid w:val="524C666B"/>
    <w:rsid w:val="5258639E"/>
    <w:rsid w:val="52592769"/>
    <w:rsid w:val="525C29F8"/>
    <w:rsid w:val="52631927"/>
    <w:rsid w:val="52637500"/>
    <w:rsid w:val="52642B9B"/>
    <w:rsid w:val="526A0F22"/>
    <w:rsid w:val="526F3A1A"/>
    <w:rsid w:val="52710E7A"/>
    <w:rsid w:val="52720E14"/>
    <w:rsid w:val="52727066"/>
    <w:rsid w:val="52761054"/>
    <w:rsid w:val="527643E4"/>
    <w:rsid w:val="527917C5"/>
    <w:rsid w:val="527D648F"/>
    <w:rsid w:val="527F2C14"/>
    <w:rsid w:val="528D5C4E"/>
    <w:rsid w:val="52A41D82"/>
    <w:rsid w:val="52A508F7"/>
    <w:rsid w:val="52A74D41"/>
    <w:rsid w:val="52AD22B3"/>
    <w:rsid w:val="52B76F3A"/>
    <w:rsid w:val="52C435E9"/>
    <w:rsid w:val="52D109B6"/>
    <w:rsid w:val="52D21E2E"/>
    <w:rsid w:val="52D67B64"/>
    <w:rsid w:val="52E1374D"/>
    <w:rsid w:val="52E442F3"/>
    <w:rsid w:val="52E71802"/>
    <w:rsid w:val="52E87329"/>
    <w:rsid w:val="52F173B6"/>
    <w:rsid w:val="52F263F9"/>
    <w:rsid w:val="52FD7CD9"/>
    <w:rsid w:val="53014A8A"/>
    <w:rsid w:val="53023252"/>
    <w:rsid w:val="53027C8D"/>
    <w:rsid w:val="5305301A"/>
    <w:rsid w:val="53073C53"/>
    <w:rsid w:val="530A1875"/>
    <w:rsid w:val="530A3743"/>
    <w:rsid w:val="531278B4"/>
    <w:rsid w:val="5313512D"/>
    <w:rsid w:val="531620E8"/>
    <w:rsid w:val="531D49F6"/>
    <w:rsid w:val="53207E11"/>
    <w:rsid w:val="53270F18"/>
    <w:rsid w:val="532821C0"/>
    <w:rsid w:val="532C5D21"/>
    <w:rsid w:val="53303F40"/>
    <w:rsid w:val="53304A8F"/>
    <w:rsid w:val="53360094"/>
    <w:rsid w:val="53374BBD"/>
    <w:rsid w:val="533B79D9"/>
    <w:rsid w:val="533D642E"/>
    <w:rsid w:val="53422EDD"/>
    <w:rsid w:val="53422F25"/>
    <w:rsid w:val="53456529"/>
    <w:rsid w:val="53471E2A"/>
    <w:rsid w:val="535755B2"/>
    <w:rsid w:val="535E4736"/>
    <w:rsid w:val="535F3A8F"/>
    <w:rsid w:val="53655B6F"/>
    <w:rsid w:val="5366068E"/>
    <w:rsid w:val="536A0B34"/>
    <w:rsid w:val="536A319A"/>
    <w:rsid w:val="53720004"/>
    <w:rsid w:val="5379511C"/>
    <w:rsid w:val="537B2A5C"/>
    <w:rsid w:val="538232D9"/>
    <w:rsid w:val="53856422"/>
    <w:rsid w:val="538E29FE"/>
    <w:rsid w:val="539B683D"/>
    <w:rsid w:val="539E40EB"/>
    <w:rsid w:val="53A42DFD"/>
    <w:rsid w:val="53A83A0F"/>
    <w:rsid w:val="53A9346A"/>
    <w:rsid w:val="53AF7E46"/>
    <w:rsid w:val="53B306E2"/>
    <w:rsid w:val="53B335AD"/>
    <w:rsid w:val="53B42B83"/>
    <w:rsid w:val="53BB1F17"/>
    <w:rsid w:val="53BE5B36"/>
    <w:rsid w:val="53C749B7"/>
    <w:rsid w:val="53D53D51"/>
    <w:rsid w:val="53D74620"/>
    <w:rsid w:val="53DC70D3"/>
    <w:rsid w:val="53E72F15"/>
    <w:rsid w:val="53EB6E36"/>
    <w:rsid w:val="53F24D76"/>
    <w:rsid w:val="53F428B1"/>
    <w:rsid w:val="53FA09AA"/>
    <w:rsid w:val="540463E4"/>
    <w:rsid w:val="540D34EB"/>
    <w:rsid w:val="541A1764"/>
    <w:rsid w:val="541D2A50"/>
    <w:rsid w:val="541F34E0"/>
    <w:rsid w:val="541F56BD"/>
    <w:rsid w:val="542265A3"/>
    <w:rsid w:val="54323FC3"/>
    <w:rsid w:val="543447D1"/>
    <w:rsid w:val="543559D7"/>
    <w:rsid w:val="54356AE6"/>
    <w:rsid w:val="5436623A"/>
    <w:rsid w:val="54415563"/>
    <w:rsid w:val="5442740D"/>
    <w:rsid w:val="544B1B5E"/>
    <w:rsid w:val="544C19CC"/>
    <w:rsid w:val="544E465D"/>
    <w:rsid w:val="544E7A62"/>
    <w:rsid w:val="54500877"/>
    <w:rsid w:val="545C3E16"/>
    <w:rsid w:val="5461399C"/>
    <w:rsid w:val="546253AF"/>
    <w:rsid w:val="54627413"/>
    <w:rsid w:val="546C065C"/>
    <w:rsid w:val="5487421B"/>
    <w:rsid w:val="54894468"/>
    <w:rsid w:val="548A2B09"/>
    <w:rsid w:val="548A4B3B"/>
    <w:rsid w:val="549B46E1"/>
    <w:rsid w:val="549F610D"/>
    <w:rsid w:val="54A22916"/>
    <w:rsid w:val="54A35BFD"/>
    <w:rsid w:val="54AB3A91"/>
    <w:rsid w:val="54AB6860"/>
    <w:rsid w:val="54B97CBF"/>
    <w:rsid w:val="54C603C1"/>
    <w:rsid w:val="54C846A1"/>
    <w:rsid w:val="54CF038C"/>
    <w:rsid w:val="54D40156"/>
    <w:rsid w:val="54D44693"/>
    <w:rsid w:val="54D60D66"/>
    <w:rsid w:val="54D61AF3"/>
    <w:rsid w:val="54D933CD"/>
    <w:rsid w:val="54E6557C"/>
    <w:rsid w:val="54F328F0"/>
    <w:rsid w:val="54F44E75"/>
    <w:rsid w:val="54F81B71"/>
    <w:rsid w:val="54F85403"/>
    <w:rsid w:val="55011646"/>
    <w:rsid w:val="550207AE"/>
    <w:rsid w:val="55101A55"/>
    <w:rsid w:val="55161816"/>
    <w:rsid w:val="551E086A"/>
    <w:rsid w:val="551F10EF"/>
    <w:rsid w:val="551F1188"/>
    <w:rsid w:val="552378B3"/>
    <w:rsid w:val="5524752A"/>
    <w:rsid w:val="552B62DD"/>
    <w:rsid w:val="55340772"/>
    <w:rsid w:val="553533A8"/>
    <w:rsid w:val="5540344C"/>
    <w:rsid w:val="554B7C38"/>
    <w:rsid w:val="554E3850"/>
    <w:rsid w:val="555313D1"/>
    <w:rsid w:val="555B06D4"/>
    <w:rsid w:val="5563377B"/>
    <w:rsid w:val="55636920"/>
    <w:rsid w:val="55684751"/>
    <w:rsid w:val="556F1542"/>
    <w:rsid w:val="55727AB2"/>
    <w:rsid w:val="55764466"/>
    <w:rsid w:val="558012C5"/>
    <w:rsid w:val="55822645"/>
    <w:rsid w:val="55836127"/>
    <w:rsid w:val="5587482D"/>
    <w:rsid w:val="558C05B2"/>
    <w:rsid w:val="558C4D38"/>
    <w:rsid w:val="55914A22"/>
    <w:rsid w:val="55917D3D"/>
    <w:rsid w:val="559E20D4"/>
    <w:rsid w:val="55A47B46"/>
    <w:rsid w:val="55A5530C"/>
    <w:rsid w:val="55A57C2B"/>
    <w:rsid w:val="55A7171D"/>
    <w:rsid w:val="55AD0930"/>
    <w:rsid w:val="55AE7735"/>
    <w:rsid w:val="55B050CF"/>
    <w:rsid w:val="55B80DCC"/>
    <w:rsid w:val="55BF6AE1"/>
    <w:rsid w:val="55C20305"/>
    <w:rsid w:val="55C26D37"/>
    <w:rsid w:val="55C41AEB"/>
    <w:rsid w:val="55C50B1A"/>
    <w:rsid w:val="55C71E66"/>
    <w:rsid w:val="55CB4781"/>
    <w:rsid w:val="55D052DC"/>
    <w:rsid w:val="55DA2773"/>
    <w:rsid w:val="55DD1BA8"/>
    <w:rsid w:val="55DF0F31"/>
    <w:rsid w:val="55DF7EDF"/>
    <w:rsid w:val="55E15663"/>
    <w:rsid w:val="55E72963"/>
    <w:rsid w:val="55EB7B9D"/>
    <w:rsid w:val="55EC5382"/>
    <w:rsid w:val="55EE5B9D"/>
    <w:rsid w:val="55F15FEE"/>
    <w:rsid w:val="55F31CB6"/>
    <w:rsid w:val="55F90486"/>
    <w:rsid w:val="55FA3952"/>
    <w:rsid w:val="5605477C"/>
    <w:rsid w:val="562869CF"/>
    <w:rsid w:val="56297D5F"/>
    <w:rsid w:val="562E7595"/>
    <w:rsid w:val="563B1EA9"/>
    <w:rsid w:val="563E3764"/>
    <w:rsid w:val="56431C0D"/>
    <w:rsid w:val="56537541"/>
    <w:rsid w:val="5658446E"/>
    <w:rsid w:val="565C2F28"/>
    <w:rsid w:val="56604862"/>
    <w:rsid w:val="566121CF"/>
    <w:rsid w:val="56617B1E"/>
    <w:rsid w:val="56680035"/>
    <w:rsid w:val="566A4C8E"/>
    <w:rsid w:val="5677363F"/>
    <w:rsid w:val="567C6B7A"/>
    <w:rsid w:val="56800586"/>
    <w:rsid w:val="5688377D"/>
    <w:rsid w:val="5689677E"/>
    <w:rsid w:val="56944685"/>
    <w:rsid w:val="569C5870"/>
    <w:rsid w:val="56A1616C"/>
    <w:rsid w:val="56AA15E6"/>
    <w:rsid w:val="56B03527"/>
    <w:rsid w:val="56B22DE0"/>
    <w:rsid w:val="56B91E60"/>
    <w:rsid w:val="56BA7CA8"/>
    <w:rsid w:val="56BB5712"/>
    <w:rsid w:val="56C70B47"/>
    <w:rsid w:val="56C9121F"/>
    <w:rsid w:val="56CB4371"/>
    <w:rsid w:val="56CB7E23"/>
    <w:rsid w:val="56CD6F61"/>
    <w:rsid w:val="56D03076"/>
    <w:rsid w:val="56DB78D0"/>
    <w:rsid w:val="56E900ED"/>
    <w:rsid w:val="56EA7E58"/>
    <w:rsid w:val="56F23202"/>
    <w:rsid w:val="56F51E58"/>
    <w:rsid w:val="56F546B0"/>
    <w:rsid w:val="56F835F4"/>
    <w:rsid w:val="56FD0DD3"/>
    <w:rsid w:val="57033A59"/>
    <w:rsid w:val="570566FB"/>
    <w:rsid w:val="570578F8"/>
    <w:rsid w:val="57095BD5"/>
    <w:rsid w:val="57103F87"/>
    <w:rsid w:val="57112312"/>
    <w:rsid w:val="5719550B"/>
    <w:rsid w:val="572513C8"/>
    <w:rsid w:val="57287879"/>
    <w:rsid w:val="572A1D4E"/>
    <w:rsid w:val="57351AFF"/>
    <w:rsid w:val="57355B2D"/>
    <w:rsid w:val="573659B5"/>
    <w:rsid w:val="57387116"/>
    <w:rsid w:val="573914ED"/>
    <w:rsid w:val="57405A09"/>
    <w:rsid w:val="57420ACB"/>
    <w:rsid w:val="574216FD"/>
    <w:rsid w:val="574464FB"/>
    <w:rsid w:val="57564C8D"/>
    <w:rsid w:val="57573332"/>
    <w:rsid w:val="5759796D"/>
    <w:rsid w:val="575A6CF8"/>
    <w:rsid w:val="575C2B4B"/>
    <w:rsid w:val="575D6537"/>
    <w:rsid w:val="576176AA"/>
    <w:rsid w:val="57621A88"/>
    <w:rsid w:val="576223A8"/>
    <w:rsid w:val="57643AC8"/>
    <w:rsid w:val="57653B2E"/>
    <w:rsid w:val="57661324"/>
    <w:rsid w:val="576D5664"/>
    <w:rsid w:val="5772019C"/>
    <w:rsid w:val="57723A9C"/>
    <w:rsid w:val="57741FEC"/>
    <w:rsid w:val="57823BE1"/>
    <w:rsid w:val="578C02B3"/>
    <w:rsid w:val="57957C5E"/>
    <w:rsid w:val="579B2BBB"/>
    <w:rsid w:val="579D6934"/>
    <w:rsid w:val="57AB5D45"/>
    <w:rsid w:val="57B22417"/>
    <w:rsid w:val="57C17E9E"/>
    <w:rsid w:val="57C6118C"/>
    <w:rsid w:val="57C86FC8"/>
    <w:rsid w:val="57CA2902"/>
    <w:rsid w:val="57D40075"/>
    <w:rsid w:val="57D63057"/>
    <w:rsid w:val="57DF549C"/>
    <w:rsid w:val="57ED4521"/>
    <w:rsid w:val="57F24B4C"/>
    <w:rsid w:val="57F45EFB"/>
    <w:rsid w:val="57FD3876"/>
    <w:rsid w:val="57FE5A4A"/>
    <w:rsid w:val="57FF5C42"/>
    <w:rsid w:val="58035273"/>
    <w:rsid w:val="58180EDC"/>
    <w:rsid w:val="581836E4"/>
    <w:rsid w:val="58183E23"/>
    <w:rsid w:val="581F1A3E"/>
    <w:rsid w:val="582071B7"/>
    <w:rsid w:val="58214AF1"/>
    <w:rsid w:val="583C2A83"/>
    <w:rsid w:val="5843562F"/>
    <w:rsid w:val="58456D90"/>
    <w:rsid w:val="584C4C16"/>
    <w:rsid w:val="58500D94"/>
    <w:rsid w:val="585230EA"/>
    <w:rsid w:val="5858634F"/>
    <w:rsid w:val="585C26F0"/>
    <w:rsid w:val="585F1E3B"/>
    <w:rsid w:val="58677ADF"/>
    <w:rsid w:val="586D2463"/>
    <w:rsid w:val="58751B62"/>
    <w:rsid w:val="58774901"/>
    <w:rsid w:val="58777498"/>
    <w:rsid w:val="58804D08"/>
    <w:rsid w:val="58816255"/>
    <w:rsid w:val="588B2184"/>
    <w:rsid w:val="58935ECF"/>
    <w:rsid w:val="5897115A"/>
    <w:rsid w:val="589E330C"/>
    <w:rsid w:val="58AA280E"/>
    <w:rsid w:val="58AB0FF4"/>
    <w:rsid w:val="58AE2DC2"/>
    <w:rsid w:val="58B63693"/>
    <w:rsid w:val="58BA3BE6"/>
    <w:rsid w:val="58BF6D7E"/>
    <w:rsid w:val="58C528F7"/>
    <w:rsid w:val="58D323E5"/>
    <w:rsid w:val="58D4550D"/>
    <w:rsid w:val="58D77C23"/>
    <w:rsid w:val="58E10AA2"/>
    <w:rsid w:val="58EE7436"/>
    <w:rsid w:val="58F5415B"/>
    <w:rsid w:val="58F676D2"/>
    <w:rsid w:val="58FD5A4C"/>
    <w:rsid w:val="59017904"/>
    <w:rsid w:val="590241CF"/>
    <w:rsid w:val="5903310E"/>
    <w:rsid w:val="59066035"/>
    <w:rsid w:val="5907507E"/>
    <w:rsid w:val="590D3D79"/>
    <w:rsid w:val="590E35AB"/>
    <w:rsid w:val="59110836"/>
    <w:rsid w:val="5911543E"/>
    <w:rsid w:val="591216D9"/>
    <w:rsid w:val="591B19F5"/>
    <w:rsid w:val="59235DAE"/>
    <w:rsid w:val="592636A5"/>
    <w:rsid w:val="5935343E"/>
    <w:rsid w:val="593E4146"/>
    <w:rsid w:val="593F0D41"/>
    <w:rsid w:val="594405C9"/>
    <w:rsid w:val="5954234D"/>
    <w:rsid w:val="59560582"/>
    <w:rsid w:val="59561FE9"/>
    <w:rsid w:val="595A2CA6"/>
    <w:rsid w:val="59657D28"/>
    <w:rsid w:val="596F59C8"/>
    <w:rsid w:val="597138B8"/>
    <w:rsid w:val="59741C77"/>
    <w:rsid w:val="59754F50"/>
    <w:rsid w:val="59767C43"/>
    <w:rsid w:val="5979517E"/>
    <w:rsid w:val="597B2DCB"/>
    <w:rsid w:val="597C054E"/>
    <w:rsid w:val="59815B84"/>
    <w:rsid w:val="598946AD"/>
    <w:rsid w:val="598D4887"/>
    <w:rsid w:val="598D7C7D"/>
    <w:rsid w:val="59981737"/>
    <w:rsid w:val="59A27AC0"/>
    <w:rsid w:val="59A839CF"/>
    <w:rsid w:val="59A84DCD"/>
    <w:rsid w:val="59AA30E3"/>
    <w:rsid w:val="59AD430E"/>
    <w:rsid w:val="59BA3B7D"/>
    <w:rsid w:val="59C43CF0"/>
    <w:rsid w:val="59C7517B"/>
    <w:rsid w:val="59CC1DF8"/>
    <w:rsid w:val="59CF263A"/>
    <w:rsid w:val="59D30EDE"/>
    <w:rsid w:val="59D51B19"/>
    <w:rsid w:val="59D64C22"/>
    <w:rsid w:val="59DC04F0"/>
    <w:rsid w:val="59DC2589"/>
    <w:rsid w:val="59E026C6"/>
    <w:rsid w:val="59E02F08"/>
    <w:rsid w:val="59EC5BF3"/>
    <w:rsid w:val="59EF23D3"/>
    <w:rsid w:val="59F24655"/>
    <w:rsid w:val="59F74DC6"/>
    <w:rsid w:val="59F75157"/>
    <w:rsid w:val="59FF4D5B"/>
    <w:rsid w:val="5A050A5E"/>
    <w:rsid w:val="5A067B71"/>
    <w:rsid w:val="5A0970C2"/>
    <w:rsid w:val="5A14414A"/>
    <w:rsid w:val="5A1A526A"/>
    <w:rsid w:val="5A2242D6"/>
    <w:rsid w:val="5A226247"/>
    <w:rsid w:val="5A2464B1"/>
    <w:rsid w:val="5A27382D"/>
    <w:rsid w:val="5A292701"/>
    <w:rsid w:val="5A2A0227"/>
    <w:rsid w:val="5A2E6A23"/>
    <w:rsid w:val="5A31780A"/>
    <w:rsid w:val="5A4813B8"/>
    <w:rsid w:val="5A4C57B2"/>
    <w:rsid w:val="5A4D3C5B"/>
    <w:rsid w:val="5A4E75D7"/>
    <w:rsid w:val="5A517EA9"/>
    <w:rsid w:val="5A584F05"/>
    <w:rsid w:val="5A59048D"/>
    <w:rsid w:val="5A673229"/>
    <w:rsid w:val="5A6776CD"/>
    <w:rsid w:val="5A690D4F"/>
    <w:rsid w:val="5A6C6A91"/>
    <w:rsid w:val="5A6E33E7"/>
    <w:rsid w:val="5A6E6456"/>
    <w:rsid w:val="5A792FF2"/>
    <w:rsid w:val="5A7C49EC"/>
    <w:rsid w:val="5A84657D"/>
    <w:rsid w:val="5A856DBF"/>
    <w:rsid w:val="5A8A4DFE"/>
    <w:rsid w:val="5A930BF6"/>
    <w:rsid w:val="5AA73749"/>
    <w:rsid w:val="5AA770D0"/>
    <w:rsid w:val="5AA81921"/>
    <w:rsid w:val="5AA969C7"/>
    <w:rsid w:val="5AAE4299"/>
    <w:rsid w:val="5AAE4416"/>
    <w:rsid w:val="5AB20948"/>
    <w:rsid w:val="5ABF4E13"/>
    <w:rsid w:val="5AC07636"/>
    <w:rsid w:val="5AC943EB"/>
    <w:rsid w:val="5ACB48B7"/>
    <w:rsid w:val="5AD84127"/>
    <w:rsid w:val="5ADD577C"/>
    <w:rsid w:val="5AE70DCA"/>
    <w:rsid w:val="5AEF2D15"/>
    <w:rsid w:val="5AF734B1"/>
    <w:rsid w:val="5AF75100"/>
    <w:rsid w:val="5AFC2FED"/>
    <w:rsid w:val="5AFD095E"/>
    <w:rsid w:val="5B0833AF"/>
    <w:rsid w:val="5B181987"/>
    <w:rsid w:val="5B186C35"/>
    <w:rsid w:val="5B190141"/>
    <w:rsid w:val="5B1A1466"/>
    <w:rsid w:val="5B1F5645"/>
    <w:rsid w:val="5B2E2AFA"/>
    <w:rsid w:val="5B4107CD"/>
    <w:rsid w:val="5B426A5E"/>
    <w:rsid w:val="5B4672E2"/>
    <w:rsid w:val="5B484E08"/>
    <w:rsid w:val="5B4D00C8"/>
    <w:rsid w:val="5B4F1C22"/>
    <w:rsid w:val="5B5212C5"/>
    <w:rsid w:val="5B56656B"/>
    <w:rsid w:val="5B6320F6"/>
    <w:rsid w:val="5B6B0AF7"/>
    <w:rsid w:val="5B72351D"/>
    <w:rsid w:val="5B726329"/>
    <w:rsid w:val="5B730353"/>
    <w:rsid w:val="5B7F3CEB"/>
    <w:rsid w:val="5B81457F"/>
    <w:rsid w:val="5B8463CD"/>
    <w:rsid w:val="5B9458D4"/>
    <w:rsid w:val="5B994F07"/>
    <w:rsid w:val="5BA04068"/>
    <w:rsid w:val="5BAF77B9"/>
    <w:rsid w:val="5BB20CD1"/>
    <w:rsid w:val="5BB24978"/>
    <w:rsid w:val="5BBA505B"/>
    <w:rsid w:val="5BC23F3E"/>
    <w:rsid w:val="5BC47489"/>
    <w:rsid w:val="5BC51773"/>
    <w:rsid w:val="5BCA3A6F"/>
    <w:rsid w:val="5BD07FF2"/>
    <w:rsid w:val="5BEA2602"/>
    <w:rsid w:val="5BF3691D"/>
    <w:rsid w:val="5C044038"/>
    <w:rsid w:val="5C054F45"/>
    <w:rsid w:val="5C094FC3"/>
    <w:rsid w:val="5C0D7E00"/>
    <w:rsid w:val="5C0F0699"/>
    <w:rsid w:val="5C163158"/>
    <w:rsid w:val="5C175824"/>
    <w:rsid w:val="5C1A74FD"/>
    <w:rsid w:val="5C1B2BC9"/>
    <w:rsid w:val="5C1E200D"/>
    <w:rsid w:val="5C1F5F09"/>
    <w:rsid w:val="5C205D85"/>
    <w:rsid w:val="5C277C23"/>
    <w:rsid w:val="5C2F6009"/>
    <w:rsid w:val="5C2F6C04"/>
    <w:rsid w:val="5C333375"/>
    <w:rsid w:val="5C34538D"/>
    <w:rsid w:val="5C3B2BBF"/>
    <w:rsid w:val="5C3B6A1A"/>
    <w:rsid w:val="5C425086"/>
    <w:rsid w:val="5C493B6B"/>
    <w:rsid w:val="5C4C1145"/>
    <w:rsid w:val="5C4F0418"/>
    <w:rsid w:val="5C511ED0"/>
    <w:rsid w:val="5C537C85"/>
    <w:rsid w:val="5C5868E1"/>
    <w:rsid w:val="5C5C5988"/>
    <w:rsid w:val="5C5D0EA7"/>
    <w:rsid w:val="5C5F1DC0"/>
    <w:rsid w:val="5C62335B"/>
    <w:rsid w:val="5C64417F"/>
    <w:rsid w:val="5C6F3785"/>
    <w:rsid w:val="5C78583E"/>
    <w:rsid w:val="5C7C64F3"/>
    <w:rsid w:val="5C887362"/>
    <w:rsid w:val="5C945451"/>
    <w:rsid w:val="5CA00C74"/>
    <w:rsid w:val="5CAA1DE7"/>
    <w:rsid w:val="5CAB29B7"/>
    <w:rsid w:val="5CAE376B"/>
    <w:rsid w:val="5CAF3A85"/>
    <w:rsid w:val="5CBB6E94"/>
    <w:rsid w:val="5CC12A85"/>
    <w:rsid w:val="5CC9328A"/>
    <w:rsid w:val="5CCE57E1"/>
    <w:rsid w:val="5CD050B5"/>
    <w:rsid w:val="5CD40FA3"/>
    <w:rsid w:val="5CDC6150"/>
    <w:rsid w:val="5CE369DF"/>
    <w:rsid w:val="5CE809FE"/>
    <w:rsid w:val="5CEA5FB1"/>
    <w:rsid w:val="5CED34E5"/>
    <w:rsid w:val="5CED6DBD"/>
    <w:rsid w:val="5CFC234E"/>
    <w:rsid w:val="5CFD1EE6"/>
    <w:rsid w:val="5CFE7995"/>
    <w:rsid w:val="5CFF1273"/>
    <w:rsid w:val="5D043BDE"/>
    <w:rsid w:val="5D084BB9"/>
    <w:rsid w:val="5D0D58A7"/>
    <w:rsid w:val="5D131596"/>
    <w:rsid w:val="5D167808"/>
    <w:rsid w:val="5D1F4C3F"/>
    <w:rsid w:val="5D235B2D"/>
    <w:rsid w:val="5D33026B"/>
    <w:rsid w:val="5D331DCA"/>
    <w:rsid w:val="5D3E6208"/>
    <w:rsid w:val="5D52081C"/>
    <w:rsid w:val="5D5A0E23"/>
    <w:rsid w:val="5D5C0911"/>
    <w:rsid w:val="5D674A32"/>
    <w:rsid w:val="5D6C682E"/>
    <w:rsid w:val="5D6D0331"/>
    <w:rsid w:val="5D6D4FFA"/>
    <w:rsid w:val="5D720862"/>
    <w:rsid w:val="5D7458C2"/>
    <w:rsid w:val="5D7B0852"/>
    <w:rsid w:val="5D7E2D63"/>
    <w:rsid w:val="5D8100E7"/>
    <w:rsid w:val="5D821EDE"/>
    <w:rsid w:val="5D83037A"/>
    <w:rsid w:val="5D840AED"/>
    <w:rsid w:val="5D8521F8"/>
    <w:rsid w:val="5D852F0F"/>
    <w:rsid w:val="5D884C33"/>
    <w:rsid w:val="5D8962B4"/>
    <w:rsid w:val="5D8C0CF1"/>
    <w:rsid w:val="5D8E700A"/>
    <w:rsid w:val="5D9661D8"/>
    <w:rsid w:val="5D9702C9"/>
    <w:rsid w:val="5D987984"/>
    <w:rsid w:val="5D9D38BA"/>
    <w:rsid w:val="5D9E3405"/>
    <w:rsid w:val="5DA304F6"/>
    <w:rsid w:val="5DB36540"/>
    <w:rsid w:val="5DB92CC7"/>
    <w:rsid w:val="5DC00CA4"/>
    <w:rsid w:val="5DC6681A"/>
    <w:rsid w:val="5DC66C89"/>
    <w:rsid w:val="5DCF35BF"/>
    <w:rsid w:val="5DD1164A"/>
    <w:rsid w:val="5DD2619F"/>
    <w:rsid w:val="5DD8476F"/>
    <w:rsid w:val="5DD91E77"/>
    <w:rsid w:val="5DE93A74"/>
    <w:rsid w:val="5DF02EDB"/>
    <w:rsid w:val="5DF0635D"/>
    <w:rsid w:val="5DF22AE4"/>
    <w:rsid w:val="5DF748C4"/>
    <w:rsid w:val="5DFA3515"/>
    <w:rsid w:val="5DFA5E7F"/>
    <w:rsid w:val="5DFF19E2"/>
    <w:rsid w:val="5E042354"/>
    <w:rsid w:val="5E0A35B9"/>
    <w:rsid w:val="5E0D2339"/>
    <w:rsid w:val="5E0E0E3B"/>
    <w:rsid w:val="5E135C72"/>
    <w:rsid w:val="5E136E85"/>
    <w:rsid w:val="5E146848"/>
    <w:rsid w:val="5E23634B"/>
    <w:rsid w:val="5E291FD6"/>
    <w:rsid w:val="5E293ECB"/>
    <w:rsid w:val="5E321239"/>
    <w:rsid w:val="5E385929"/>
    <w:rsid w:val="5E3D0FFD"/>
    <w:rsid w:val="5E3F5A16"/>
    <w:rsid w:val="5E4850E6"/>
    <w:rsid w:val="5E4950EE"/>
    <w:rsid w:val="5E4D38EA"/>
    <w:rsid w:val="5E505247"/>
    <w:rsid w:val="5E5A6ADF"/>
    <w:rsid w:val="5E622685"/>
    <w:rsid w:val="5E641036"/>
    <w:rsid w:val="5E641751"/>
    <w:rsid w:val="5E6D0205"/>
    <w:rsid w:val="5E6E1544"/>
    <w:rsid w:val="5E7076B8"/>
    <w:rsid w:val="5E750705"/>
    <w:rsid w:val="5E806603"/>
    <w:rsid w:val="5E877CCF"/>
    <w:rsid w:val="5E8C75FF"/>
    <w:rsid w:val="5E9018AE"/>
    <w:rsid w:val="5E96176A"/>
    <w:rsid w:val="5E970736"/>
    <w:rsid w:val="5E985B0C"/>
    <w:rsid w:val="5EA63A9D"/>
    <w:rsid w:val="5EA8195C"/>
    <w:rsid w:val="5EBB182F"/>
    <w:rsid w:val="5EBB28E2"/>
    <w:rsid w:val="5EC00A33"/>
    <w:rsid w:val="5EC41715"/>
    <w:rsid w:val="5EC549C2"/>
    <w:rsid w:val="5ECC70AC"/>
    <w:rsid w:val="5ED0049E"/>
    <w:rsid w:val="5ED30E13"/>
    <w:rsid w:val="5ED56194"/>
    <w:rsid w:val="5EE035AA"/>
    <w:rsid w:val="5EE12F5D"/>
    <w:rsid w:val="5EE62A83"/>
    <w:rsid w:val="5EEB1738"/>
    <w:rsid w:val="5EEE6E26"/>
    <w:rsid w:val="5EF03519"/>
    <w:rsid w:val="5EF03582"/>
    <w:rsid w:val="5EFF2CDF"/>
    <w:rsid w:val="5F070DC6"/>
    <w:rsid w:val="5F0A652F"/>
    <w:rsid w:val="5F0E71B3"/>
    <w:rsid w:val="5F127884"/>
    <w:rsid w:val="5F1400C4"/>
    <w:rsid w:val="5F185767"/>
    <w:rsid w:val="5F1877F0"/>
    <w:rsid w:val="5F2A4313"/>
    <w:rsid w:val="5F2D217B"/>
    <w:rsid w:val="5F2D4EAC"/>
    <w:rsid w:val="5F2E4671"/>
    <w:rsid w:val="5F2F13C4"/>
    <w:rsid w:val="5F3800C5"/>
    <w:rsid w:val="5F3839F7"/>
    <w:rsid w:val="5F3F50F5"/>
    <w:rsid w:val="5F406851"/>
    <w:rsid w:val="5F4B3D0E"/>
    <w:rsid w:val="5F4F3B22"/>
    <w:rsid w:val="5F527A5D"/>
    <w:rsid w:val="5F534F84"/>
    <w:rsid w:val="5F5A05A0"/>
    <w:rsid w:val="5F5F2038"/>
    <w:rsid w:val="5F631B91"/>
    <w:rsid w:val="5F667F53"/>
    <w:rsid w:val="5F694C79"/>
    <w:rsid w:val="5F721774"/>
    <w:rsid w:val="5F765E8E"/>
    <w:rsid w:val="5F7A4052"/>
    <w:rsid w:val="5F7C6AC3"/>
    <w:rsid w:val="5F8729D6"/>
    <w:rsid w:val="5F916B26"/>
    <w:rsid w:val="5F953F68"/>
    <w:rsid w:val="5F95795D"/>
    <w:rsid w:val="5F9F03A9"/>
    <w:rsid w:val="5F9F15D4"/>
    <w:rsid w:val="5FA4153C"/>
    <w:rsid w:val="5FAD6B36"/>
    <w:rsid w:val="5FAE5FFE"/>
    <w:rsid w:val="5FAF24AC"/>
    <w:rsid w:val="5FB364A7"/>
    <w:rsid w:val="5FB52C88"/>
    <w:rsid w:val="5FB64207"/>
    <w:rsid w:val="5FBF7579"/>
    <w:rsid w:val="5FCB6733"/>
    <w:rsid w:val="5FCD4B51"/>
    <w:rsid w:val="5FD2383A"/>
    <w:rsid w:val="5FD33CD0"/>
    <w:rsid w:val="5FD34875"/>
    <w:rsid w:val="5FD84295"/>
    <w:rsid w:val="5FDA0484"/>
    <w:rsid w:val="5FDD2465"/>
    <w:rsid w:val="5FE17A06"/>
    <w:rsid w:val="5FE43177"/>
    <w:rsid w:val="5FE55B17"/>
    <w:rsid w:val="5FE60C0B"/>
    <w:rsid w:val="5FEE0D7A"/>
    <w:rsid w:val="5FFA5822"/>
    <w:rsid w:val="5FFF558F"/>
    <w:rsid w:val="6008100A"/>
    <w:rsid w:val="6008725C"/>
    <w:rsid w:val="60093B6B"/>
    <w:rsid w:val="600A5226"/>
    <w:rsid w:val="600C12A1"/>
    <w:rsid w:val="600D48E0"/>
    <w:rsid w:val="600D57E4"/>
    <w:rsid w:val="601E438A"/>
    <w:rsid w:val="60265A18"/>
    <w:rsid w:val="602C522C"/>
    <w:rsid w:val="602D0574"/>
    <w:rsid w:val="602D3AAB"/>
    <w:rsid w:val="603155F6"/>
    <w:rsid w:val="60363DC9"/>
    <w:rsid w:val="60382CEE"/>
    <w:rsid w:val="603B5776"/>
    <w:rsid w:val="604018F7"/>
    <w:rsid w:val="6040484D"/>
    <w:rsid w:val="60457D6C"/>
    <w:rsid w:val="604A4152"/>
    <w:rsid w:val="604E503D"/>
    <w:rsid w:val="60526776"/>
    <w:rsid w:val="60536729"/>
    <w:rsid w:val="60564B2B"/>
    <w:rsid w:val="605B5350"/>
    <w:rsid w:val="60642586"/>
    <w:rsid w:val="606F7A44"/>
    <w:rsid w:val="607050A7"/>
    <w:rsid w:val="60713E80"/>
    <w:rsid w:val="60730D92"/>
    <w:rsid w:val="6083026A"/>
    <w:rsid w:val="608A0511"/>
    <w:rsid w:val="608A0A5B"/>
    <w:rsid w:val="608C3F16"/>
    <w:rsid w:val="608D7C4D"/>
    <w:rsid w:val="609B00D0"/>
    <w:rsid w:val="609B0259"/>
    <w:rsid w:val="60AF1C6B"/>
    <w:rsid w:val="60B46A9C"/>
    <w:rsid w:val="60C232FB"/>
    <w:rsid w:val="60C4749F"/>
    <w:rsid w:val="60C73E23"/>
    <w:rsid w:val="60CE4002"/>
    <w:rsid w:val="60D31637"/>
    <w:rsid w:val="60DD5FF3"/>
    <w:rsid w:val="60E2185B"/>
    <w:rsid w:val="60EA2637"/>
    <w:rsid w:val="60EF02C9"/>
    <w:rsid w:val="60F94259"/>
    <w:rsid w:val="61005D8A"/>
    <w:rsid w:val="610C7463"/>
    <w:rsid w:val="61105816"/>
    <w:rsid w:val="61167D0F"/>
    <w:rsid w:val="61243965"/>
    <w:rsid w:val="612524AC"/>
    <w:rsid w:val="61271964"/>
    <w:rsid w:val="61295BF2"/>
    <w:rsid w:val="612D1697"/>
    <w:rsid w:val="61350881"/>
    <w:rsid w:val="61383811"/>
    <w:rsid w:val="614918A0"/>
    <w:rsid w:val="614C4F26"/>
    <w:rsid w:val="6152782F"/>
    <w:rsid w:val="615652CD"/>
    <w:rsid w:val="615B5C6E"/>
    <w:rsid w:val="616A5715"/>
    <w:rsid w:val="616C7A6F"/>
    <w:rsid w:val="61705678"/>
    <w:rsid w:val="61752330"/>
    <w:rsid w:val="617B133A"/>
    <w:rsid w:val="617C49E0"/>
    <w:rsid w:val="617F448C"/>
    <w:rsid w:val="6184787B"/>
    <w:rsid w:val="61865131"/>
    <w:rsid w:val="618A1837"/>
    <w:rsid w:val="61934E74"/>
    <w:rsid w:val="61947C58"/>
    <w:rsid w:val="61957FBD"/>
    <w:rsid w:val="619B2698"/>
    <w:rsid w:val="61C56612"/>
    <w:rsid w:val="61D51E74"/>
    <w:rsid w:val="61D628A2"/>
    <w:rsid w:val="61EC521F"/>
    <w:rsid w:val="61F03CE3"/>
    <w:rsid w:val="61F213CB"/>
    <w:rsid w:val="61F618B0"/>
    <w:rsid w:val="61F91A4E"/>
    <w:rsid w:val="62047939"/>
    <w:rsid w:val="62076F09"/>
    <w:rsid w:val="621912AD"/>
    <w:rsid w:val="621B60D0"/>
    <w:rsid w:val="621D4C5C"/>
    <w:rsid w:val="621E01BA"/>
    <w:rsid w:val="6220088D"/>
    <w:rsid w:val="62206CFA"/>
    <w:rsid w:val="622F6D22"/>
    <w:rsid w:val="62485B71"/>
    <w:rsid w:val="624871D3"/>
    <w:rsid w:val="624F6610"/>
    <w:rsid w:val="62513317"/>
    <w:rsid w:val="62544579"/>
    <w:rsid w:val="62592E05"/>
    <w:rsid w:val="625938BA"/>
    <w:rsid w:val="625B5002"/>
    <w:rsid w:val="626D271E"/>
    <w:rsid w:val="626D3DED"/>
    <w:rsid w:val="62721013"/>
    <w:rsid w:val="627D3A61"/>
    <w:rsid w:val="6280757E"/>
    <w:rsid w:val="6283649A"/>
    <w:rsid w:val="628843BD"/>
    <w:rsid w:val="628F4CE8"/>
    <w:rsid w:val="62987E36"/>
    <w:rsid w:val="629A1AE6"/>
    <w:rsid w:val="62A01EEA"/>
    <w:rsid w:val="62A0263B"/>
    <w:rsid w:val="62A52FDD"/>
    <w:rsid w:val="62A91FFB"/>
    <w:rsid w:val="62AC2C58"/>
    <w:rsid w:val="62B357D7"/>
    <w:rsid w:val="62B75AED"/>
    <w:rsid w:val="62BB00AF"/>
    <w:rsid w:val="62BB337C"/>
    <w:rsid w:val="62CA167F"/>
    <w:rsid w:val="62CE02E9"/>
    <w:rsid w:val="62CF610B"/>
    <w:rsid w:val="62D04EC0"/>
    <w:rsid w:val="62DC30CC"/>
    <w:rsid w:val="62DE6052"/>
    <w:rsid w:val="62E25B42"/>
    <w:rsid w:val="62E278F0"/>
    <w:rsid w:val="62E31874"/>
    <w:rsid w:val="62E46E42"/>
    <w:rsid w:val="62E74A96"/>
    <w:rsid w:val="62FB6C04"/>
    <w:rsid w:val="62FC4752"/>
    <w:rsid w:val="63001A9A"/>
    <w:rsid w:val="63011A86"/>
    <w:rsid w:val="63023380"/>
    <w:rsid w:val="630235FA"/>
    <w:rsid w:val="63026CEE"/>
    <w:rsid w:val="630312E5"/>
    <w:rsid w:val="63096D39"/>
    <w:rsid w:val="630A17D3"/>
    <w:rsid w:val="630C31FE"/>
    <w:rsid w:val="630D5C6E"/>
    <w:rsid w:val="6319126A"/>
    <w:rsid w:val="631C1312"/>
    <w:rsid w:val="631C1F1C"/>
    <w:rsid w:val="632209E2"/>
    <w:rsid w:val="632D0E2C"/>
    <w:rsid w:val="63346E41"/>
    <w:rsid w:val="633A3563"/>
    <w:rsid w:val="633A772C"/>
    <w:rsid w:val="633F38FC"/>
    <w:rsid w:val="633F3A13"/>
    <w:rsid w:val="63402869"/>
    <w:rsid w:val="63434983"/>
    <w:rsid w:val="63454EFB"/>
    <w:rsid w:val="634F50E5"/>
    <w:rsid w:val="6350720C"/>
    <w:rsid w:val="635705CA"/>
    <w:rsid w:val="636429FB"/>
    <w:rsid w:val="63671755"/>
    <w:rsid w:val="63676048"/>
    <w:rsid w:val="636A496A"/>
    <w:rsid w:val="636B788F"/>
    <w:rsid w:val="636C3A11"/>
    <w:rsid w:val="636D3464"/>
    <w:rsid w:val="636E5E52"/>
    <w:rsid w:val="637248B5"/>
    <w:rsid w:val="63837F0E"/>
    <w:rsid w:val="63844E4C"/>
    <w:rsid w:val="63870498"/>
    <w:rsid w:val="638A2667"/>
    <w:rsid w:val="63900027"/>
    <w:rsid w:val="639034B0"/>
    <w:rsid w:val="639347F0"/>
    <w:rsid w:val="63945328"/>
    <w:rsid w:val="639A741B"/>
    <w:rsid w:val="63A86CA3"/>
    <w:rsid w:val="63AD5C13"/>
    <w:rsid w:val="63C215A1"/>
    <w:rsid w:val="63C37381"/>
    <w:rsid w:val="63DC6696"/>
    <w:rsid w:val="63DC6A36"/>
    <w:rsid w:val="63E241AA"/>
    <w:rsid w:val="63E63410"/>
    <w:rsid w:val="63EA4E1F"/>
    <w:rsid w:val="63F0739C"/>
    <w:rsid w:val="63F332F0"/>
    <w:rsid w:val="63FB26A6"/>
    <w:rsid w:val="63FD075A"/>
    <w:rsid w:val="63FD2B51"/>
    <w:rsid w:val="63FE1042"/>
    <w:rsid w:val="6401775A"/>
    <w:rsid w:val="64044287"/>
    <w:rsid w:val="64095338"/>
    <w:rsid w:val="640C5D29"/>
    <w:rsid w:val="640E447B"/>
    <w:rsid w:val="642E2EB3"/>
    <w:rsid w:val="642F58E9"/>
    <w:rsid w:val="64326656"/>
    <w:rsid w:val="644A0756"/>
    <w:rsid w:val="6454481E"/>
    <w:rsid w:val="64606EAC"/>
    <w:rsid w:val="64615E3A"/>
    <w:rsid w:val="64673DDE"/>
    <w:rsid w:val="64740A1C"/>
    <w:rsid w:val="64760C38"/>
    <w:rsid w:val="6479452E"/>
    <w:rsid w:val="647B0C2C"/>
    <w:rsid w:val="64833355"/>
    <w:rsid w:val="64864E1D"/>
    <w:rsid w:val="6490482F"/>
    <w:rsid w:val="64961BA7"/>
    <w:rsid w:val="64A0218F"/>
    <w:rsid w:val="64A8638A"/>
    <w:rsid w:val="64A90640"/>
    <w:rsid w:val="64B52E56"/>
    <w:rsid w:val="64B72537"/>
    <w:rsid w:val="64BD07B9"/>
    <w:rsid w:val="64C37D56"/>
    <w:rsid w:val="64C55F65"/>
    <w:rsid w:val="64C9179A"/>
    <w:rsid w:val="64CA2D32"/>
    <w:rsid w:val="64D311B8"/>
    <w:rsid w:val="64DD4483"/>
    <w:rsid w:val="64DD6160"/>
    <w:rsid w:val="64DE607C"/>
    <w:rsid w:val="64F20956"/>
    <w:rsid w:val="64F40A38"/>
    <w:rsid w:val="64F45333"/>
    <w:rsid w:val="64FA029D"/>
    <w:rsid w:val="64FA59E5"/>
    <w:rsid w:val="650E1676"/>
    <w:rsid w:val="650F083E"/>
    <w:rsid w:val="6520474E"/>
    <w:rsid w:val="65261531"/>
    <w:rsid w:val="652A37D1"/>
    <w:rsid w:val="653C3594"/>
    <w:rsid w:val="65482977"/>
    <w:rsid w:val="65484595"/>
    <w:rsid w:val="65515C4F"/>
    <w:rsid w:val="655243D0"/>
    <w:rsid w:val="65562452"/>
    <w:rsid w:val="65614633"/>
    <w:rsid w:val="6562122D"/>
    <w:rsid w:val="656660DC"/>
    <w:rsid w:val="656B62C3"/>
    <w:rsid w:val="656D79D2"/>
    <w:rsid w:val="656E7C6B"/>
    <w:rsid w:val="65752C9E"/>
    <w:rsid w:val="657A18D9"/>
    <w:rsid w:val="657B61EF"/>
    <w:rsid w:val="657B795E"/>
    <w:rsid w:val="657C5C9C"/>
    <w:rsid w:val="65804C8A"/>
    <w:rsid w:val="658E4CEF"/>
    <w:rsid w:val="659571A1"/>
    <w:rsid w:val="659D0447"/>
    <w:rsid w:val="659F77F4"/>
    <w:rsid w:val="65A232F0"/>
    <w:rsid w:val="65A5045A"/>
    <w:rsid w:val="65AE4402"/>
    <w:rsid w:val="65BA4460"/>
    <w:rsid w:val="65C51AD6"/>
    <w:rsid w:val="65C81DFA"/>
    <w:rsid w:val="65CC2561"/>
    <w:rsid w:val="65CD2251"/>
    <w:rsid w:val="65D26342"/>
    <w:rsid w:val="65D44742"/>
    <w:rsid w:val="65D525C0"/>
    <w:rsid w:val="65D609E3"/>
    <w:rsid w:val="65D70D58"/>
    <w:rsid w:val="65E41BD1"/>
    <w:rsid w:val="65E87914"/>
    <w:rsid w:val="65EA3C43"/>
    <w:rsid w:val="65EA7C63"/>
    <w:rsid w:val="65EC1DFF"/>
    <w:rsid w:val="65F23862"/>
    <w:rsid w:val="65F53DDF"/>
    <w:rsid w:val="65F77998"/>
    <w:rsid w:val="65FE08D3"/>
    <w:rsid w:val="660143FE"/>
    <w:rsid w:val="66080785"/>
    <w:rsid w:val="66082B09"/>
    <w:rsid w:val="66096E91"/>
    <w:rsid w:val="661651DB"/>
    <w:rsid w:val="6626005F"/>
    <w:rsid w:val="662D11A4"/>
    <w:rsid w:val="66353BA4"/>
    <w:rsid w:val="6639114F"/>
    <w:rsid w:val="663A2146"/>
    <w:rsid w:val="6646288C"/>
    <w:rsid w:val="665E09E7"/>
    <w:rsid w:val="66600411"/>
    <w:rsid w:val="66602911"/>
    <w:rsid w:val="66661880"/>
    <w:rsid w:val="666C2322"/>
    <w:rsid w:val="667B2536"/>
    <w:rsid w:val="667C7284"/>
    <w:rsid w:val="66875D2D"/>
    <w:rsid w:val="669521F5"/>
    <w:rsid w:val="66974B00"/>
    <w:rsid w:val="669A4F5E"/>
    <w:rsid w:val="669C00FA"/>
    <w:rsid w:val="66A07229"/>
    <w:rsid w:val="66A7157D"/>
    <w:rsid w:val="66A852F5"/>
    <w:rsid w:val="66A91388"/>
    <w:rsid w:val="66AA71C8"/>
    <w:rsid w:val="66AD0280"/>
    <w:rsid w:val="66B62C2E"/>
    <w:rsid w:val="66B67B56"/>
    <w:rsid w:val="66B67DF7"/>
    <w:rsid w:val="66B772E6"/>
    <w:rsid w:val="66BE2662"/>
    <w:rsid w:val="66CD08B8"/>
    <w:rsid w:val="66CF5554"/>
    <w:rsid w:val="66D37DDC"/>
    <w:rsid w:val="66D81D77"/>
    <w:rsid w:val="66D87891"/>
    <w:rsid w:val="66DA0E54"/>
    <w:rsid w:val="66DF4EEC"/>
    <w:rsid w:val="66E22B6B"/>
    <w:rsid w:val="66F0327D"/>
    <w:rsid w:val="66F36E83"/>
    <w:rsid w:val="66FD5515"/>
    <w:rsid w:val="67087B16"/>
    <w:rsid w:val="670939A2"/>
    <w:rsid w:val="670C13E0"/>
    <w:rsid w:val="67112E9A"/>
    <w:rsid w:val="671D5E82"/>
    <w:rsid w:val="672D4630"/>
    <w:rsid w:val="67336035"/>
    <w:rsid w:val="67342682"/>
    <w:rsid w:val="673520FE"/>
    <w:rsid w:val="673542DD"/>
    <w:rsid w:val="67362901"/>
    <w:rsid w:val="673D4197"/>
    <w:rsid w:val="67454D44"/>
    <w:rsid w:val="675039C2"/>
    <w:rsid w:val="67567B68"/>
    <w:rsid w:val="675D1971"/>
    <w:rsid w:val="6762262D"/>
    <w:rsid w:val="676443D8"/>
    <w:rsid w:val="67676DEE"/>
    <w:rsid w:val="676F7BC1"/>
    <w:rsid w:val="67730F0C"/>
    <w:rsid w:val="67852F40"/>
    <w:rsid w:val="678D379D"/>
    <w:rsid w:val="67907EA7"/>
    <w:rsid w:val="67925516"/>
    <w:rsid w:val="67945F1D"/>
    <w:rsid w:val="6796359A"/>
    <w:rsid w:val="67AF6173"/>
    <w:rsid w:val="67B21671"/>
    <w:rsid w:val="67B36E44"/>
    <w:rsid w:val="67B5606F"/>
    <w:rsid w:val="67B657F0"/>
    <w:rsid w:val="67B960D6"/>
    <w:rsid w:val="67BD280F"/>
    <w:rsid w:val="67BE1A8A"/>
    <w:rsid w:val="67C25F42"/>
    <w:rsid w:val="67C82632"/>
    <w:rsid w:val="67C835A8"/>
    <w:rsid w:val="67DD0FCE"/>
    <w:rsid w:val="67E1286C"/>
    <w:rsid w:val="67E21A84"/>
    <w:rsid w:val="67E43B3C"/>
    <w:rsid w:val="67E574AC"/>
    <w:rsid w:val="67F1047A"/>
    <w:rsid w:val="67FF279E"/>
    <w:rsid w:val="680F073D"/>
    <w:rsid w:val="68100BAE"/>
    <w:rsid w:val="681308B8"/>
    <w:rsid w:val="6816398F"/>
    <w:rsid w:val="681E586F"/>
    <w:rsid w:val="682607C4"/>
    <w:rsid w:val="682771CE"/>
    <w:rsid w:val="68323ADF"/>
    <w:rsid w:val="68335979"/>
    <w:rsid w:val="68341F86"/>
    <w:rsid w:val="68394457"/>
    <w:rsid w:val="68414C52"/>
    <w:rsid w:val="684A7AC4"/>
    <w:rsid w:val="684F5BBD"/>
    <w:rsid w:val="685B1BCE"/>
    <w:rsid w:val="68796C9B"/>
    <w:rsid w:val="68806730"/>
    <w:rsid w:val="688C2559"/>
    <w:rsid w:val="688D21CA"/>
    <w:rsid w:val="68920321"/>
    <w:rsid w:val="689B7778"/>
    <w:rsid w:val="68A765B8"/>
    <w:rsid w:val="68AF4719"/>
    <w:rsid w:val="68B933EC"/>
    <w:rsid w:val="68B97D70"/>
    <w:rsid w:val="68BB7AA8"/>
    <w:rsid w:val="68BE4DF5"/>
    <w:rsid w:val="68C53C59"/>
    <w:rsid w:val="68D3375C"/>
    <w:rsid w:val="68D55DB1"/>
    <w:rsid w:val="68D5723F"/>
    <w:rsid w:val="68D73C6F"/>
    <w:rsid w:val="68DA786F"/>
    <w:rsid w:val="68E25489"/>
    <w:rsid w:val="68E33A4C"/>
    <w:rsid w:val="68EA39A3"/>
    <w:rsid w:val="690C3919"/>
    <w:rsid w:val="69235482"/>
    <w:rsid w:val="69242D26"/>
    <w:rsid w:val="692A152F"/>
    <w:rsid w:val="69333797"/>
    <w:rsid w:val="693F1752"/>
    <w:rsid w:val="6940326A"/>
    <w:rsid w:val="6942733B"/>
    <w:rsid w:val="69542BDD"/>
    <w:rsid w:val="695559AB"/>
    <w:rsid w:val="695F2608"/>
    <w:rsid w:val="69622F25"/>
    <w:rsid w:val="69660BE4"/>
    <w:rsid w:val="696757BC"/>
    <w:rsid w:val="696A6892"/>
    <w:rsid w:val="696C0796"/>
    <w:rsid w:val="69703D01"/>
    <w:rsid w:val="69816B29"/>
    <w:rsid w:val="69842B01"/>
    <w:rsid w:val="69847953"/>
    <w:rsid w:val="698E2580"/>
    <w:rsid w:val="699274B3"/>
    <w:rsid w:val="69933139"/>
    <w:rsid w:val="699F5C20"/>
    <w:rsid w:val="69AD2B95"/>
    <w:rsid w:val="69AE2E8F"/>
    <w:rsid w:val="69AE677E"/>
    <w:rsid w:val="69AF6A16"/>
    <w:rsid w:val="69B04A46"/>
    <w:rsid w:val="69B76A12"/>
    <w:rsid w:val="69CB11C0"/>
    <w:rsid w:val="69CC4E56"/>
    <w:rsid w:val="69CD1118"/>
    <w:rsid w:val="69D32689"/>
    <w:rsid w:val="69D63BDA"/>
    <w:rsid w:val="69D76646"/>
    <w:rsid w:val="69DC26C0"/>
    <w:rsid w:val="69E0325C"/>
    <w:rsid w:val="69E21B40"/>
    <w:rsid w:val="69E2790C"/>
    <w:rsid w:val="69EB7795"/>
    <w:rsid w:val="69EC7DA2"/>
    <w:rsid w:val="69ED066A"/>
    <w:rsid w:val="69F44CA4"/>
    <w:rsid w:val="69F85C4B"/>
    <w:rsid w:val="69FD788D"/>
    <w:rsid w:val="6A0071B0"/>
    <w:rsid w:val="6A0768A9"/>
    <w:rsid w:val="6A09503D"/>
    <w:rsid w:val="6A0E1541"/>
    <w:rsid w:val="6A0F4F77"/>
    <w:rsid w:val="6A160BA1"/>
    <w:rsid w:val="6A162744"/>
    <w:rsid w:val="6A1C399F"/>
    <w:rsid w:val="6A223A13"/>
    <w:rsid w:val="6A280CFE"/>
    <w:rsid w:val="6A351CF0"/>
    <w:rsid w:val="6A367F82"/>
    <w:rsid w:val="6A3868CA"/>
    <w:rsid w:val="6A3C4964"/>
    <w:rsid w:val="6A415A8A"/>
    <w:rsid w:val="6A450741"/>
    <w:rsid w:val="6A4D6840"/>
    <w:rsid w:val="6A4F0508"/>
    <w:rsid w:val="6A562ADE"/>
    <w:rsid w:val="6A576059"/>
    <w:rsid w:val="6A681FD3"/>
    <w:rsid w:val="6A694D9B"/>
    <w:rsid w:val="6A696742"/>
    <w:rsid w:val="6A7029C5"/>
    <w:rsid w:val="6A730C31"/>
    <w:rsid w:val="6A7C0CFD"/>
    <w:rsid w:val="6A7E0847"/>
    <w:rsid w:val="6A987ACE"/>
    <w:rsid w:val="6A9E6BEE"/>
    <w:rsid w:val="6AA10321"/>
    <w:rsid w:val="6AB6319D"/>
    <w:rsid w:val="6AB878DE"/>
    <w:rsid w:val="6ABC68A9"/>
    <w:rsid w:val="6AC36259"/>
    <w:rsid w:val="6ACD5EE3"/>
    <w:rsid w:val="6AD45539"/>
    <w:rsid w:val="6AD9782B"/>
    <w:rsid w:val="6ADA5212"/>
    <w:rsid w:val="6AE41A2B"/>
    <w:rsid w:val="6AE4490D"/>
    <w:rsid w:val="6AF10AD9"/>
    <w:rsid w:val="6AF55B54"/>
    <w:rsid w:val="6AFA59F3"/>
    <w:rsid w:val="6AFD68EA"/>
    <w:rsid w:val="6B010CDF"/>
    <w:rsid w:val="6B0413F8"/>
    <w:rsid w:val="6B050E58"/>
    <w:rsid w:val="6B072479"/>
    <w:rsid w:val="6B0B2300"/>
    <w:rsid w:val="6B1116BB"/>
    <w:rsid w:val="6B1271B0"/>
    <w:rsid w:val="6B140D72"/>
    <w:rsid w:val="6B1F7DA5"/>
    <w:rsid w:val="6B232B4C"/>
    <w:rsid w:val="6B2527D9"/>
    <w:rsid w:val="6B2E4BF9"/>
    <w:rsid w:val="6B363C09"/>
    <w:rsid w:val="6B3A7862"/>
    <w:rsid w:val="6B3E704D"/>
    <w:rsid w:val="6B3F1E9D"/>
    <w:rsid w:val="6B466D24"/>
    <w:rsid w:val="6B6340BA"/>
    <w:rsid w:val="6B6E13CF"/>
    <w:rsid w:val="6B7060E8"/>
    <w:rsid w:val="6B712159"/>
    <w:rsid w:val="6B7B4D86"/>
    <w:rsid w:val="6B804119"/>
    <w:rsid w:val="6B836FF5"/>
    <w:rsid w:val="6B9C56C2"/>
    <w:rsid w:val="6BA4668A"/>
    <w:rsid w:val="6BA72C41"/>
    <w:rsid w:val="6BB27005"/>
    <w:rsid w:val="6BC674C6"/>
    <w:rsid w:val="6BC87A2B"/>
    <w:rsid w:val="6BC968F0"/>
    <w:rsid w:val="6BCA13BA"/>
    <w:rsid w:val="6BCC3834"/>
    <w:rsid w:val="6BD8420A"/>
    <w:rsid w:val="6BD91AAD"/>
    <w:rsid w:val="6BE570EE"/>
    <w:rsid w:val="6BE7051D"/>
    <w:rsid w:val="6BE81786"/>
    <w:rsid w:val="6BEE2CD4"/>
    <w:rsid w:val="6BF80902"/>
    <w:rsid w:val="6C044D7B"/>
    <w:rsid w:val="6C0C3BC6"/>
    <w:rsid w:val="6C0F6300"/>
    <w:rsid w:val="6C1375E2"/>
    <w:rsid w:val="6C153F73"/>
    <w:rsid w:val="6C1A3E61"/>
    <w:rsid w:val="6C245F02"/>
    <w:rsid w:val="6C2862BA"/>
    <w:rsid w:val="6C2A7CE5"/>
    <w:rsid w:val="6C305996"/>
    <w:rsid w:val="6C380D78"/>
    <w:rsid w:val="6C3932C8"/>
    <w:rsid w:val="6C45253B"/>
    <w:rsid w:val="6C595F55"/>
    <w:rsid w:val="6C5A7E3D"/>
    <w:rsid w:val="6C617A1A"/>
    <w:rsid w:val="6C643D12"/>
    <w:rsid w:val="6C6924C7"/>
    <w:rsid w:val="6C6B5FC9"/>
    <w:rsid w:val="6C736228"/>
    <w:rsid w:val="6C7679CF"/>
    <w:rsid w:val="6C8150D9"/>
    <w:rsid w:val="6C8C6B1F"/>
    <w:rsid w:val="6C8E1EFB"/>
    <w:rsid w:val="6C8E40E4"/>
    <w:rsid w:val="6C8E52C1"/>
    <w:rsid w:val="6C944856"/>
    <w:rsid w:val="6C951075"/>
    <w:rsid w:val="6C99089F"/>
    <w:rsid w:val="6C9F7F39"/>
    <w:rsid w:val="6CA27A24"/>
    <w:rsid w:val="6CAA14EC"/>
    <w:rsid w:val="6CB467A2"/>
    <w:rsid w:val="6CB70040"/>
    <w:rsid w:val="6CBF13D7"/>
    <w:rsid w:val="6CC04D55"/>
    <w:rsid w:val="6CC154DA"/>
    <w:rsid w:val="6CC7020B"/>
    <w:rsid w:val="6CC71BBE"/>
    <w:rsid w:val="6CD0469C"/>
    <w:rsid w:val="6CD15B04"/>
    <w:rsid w:val="6CD7423E"/>
    <w:rsid w:val="6CDB4873"/>
    <w:rsid w:val="6CE24852"/>
    <w:rsid w:val="6CE367D8"/>
    <w:rsid w:val="6CEE3437"/>
    <w:rsid w:val="6CEF5600"/>
    <w:rsid w:val="6CF34549"/>
    <w:rsid w:val="6CF37BBF"/>
    <w:rsid w:val="6CF5172C"/>
    <w:rsid w:val="6CFD341F"/>
    <w:rsid w:val="6CFF26B9"/>
    <w:rsid w:val="6D04327D"/>
    <w:rsid w:val="6D083B7B"/>
    <w:rsid w:val="6D16404E"/>
    <w:rsid w:val="6D190E5C"/>
    <w:rsid w:val="6D1E4805"/>
    <w:rsid w:val="6D1F7993"/>
    <w:rsid w:val="6D2356D5"/>
    <w:rsid w:val="6D277904"/>
    <w:rsid w:val="6D2C151F"/>
    <w:rsid w:val="6D2D7200"/>
    <w:rsid w:val="6D2E1222"/>
    <w:rsid w:val="6D2E78A5"/>
    <w:rsid w:val="6D2F296C"/>
    <w:rsid w:val="6D36338C"/>
    <w:rsid w:val="6D433D55"/>
    <w:rsid w:val="6D443B19"/>
    <w:rsid w:val="6D4B0788"/>
    <w:rsid w:val="6D512242"/>
    <w:rsid w:val="6D513FF0"/>
    <w:rsid w:val="6D546EEE"/>
    <w:rsid w:val="6D5A7CF1"/>
    <w:rsid w:val="6D613611"/>
    <w:rsid w:val="6D623C0F"/>
    <w:rsid w:val="6D6865F3"/>
    <w:rsid w:val="6D6D2E70"/>
    <w:rsid w:val="6D77157D"/>
    <w:rsid w:val="6D7731DB"/>
    <w:rsid w:val="6D8608F1"/>
    <w:rsid w:val="6D872174"/>
    <w:rsid w:val="6D884915"/>
    <w:rsid w:val="6D97111D"/>
    <w:rsid w:val="6D9E4078"/>
    <w:rsid w:val="6DA0685D"/>
    <w:rsid w:val="6DA53D71"/>
    <w:rsid w:val="6DAF4472"/>
    <w:rsid w:val="6DB63E53"/>
    <w:rsid w:val="6DB75165"/>
    <w:rsid w:val="6DC21C64"/>
    <w:rsid w:val="6DC5678C"/>
    <w:rsid w:val="6DCC0641"/>
    <w:rsid w:val="6DCC06C3"/>
    <w:rsid w:val="6DD1563F"/>
    <w:rsid w:val="6DF30658"/>
    <w:rsid w:val="6DF65A0A"/>
    <w:rsid w:val="6E01352B"/>
    <w:rsid w:val="6E065CF6"/>
    <w:rsid w:val="6E075E82"/>
    <w:rsid w:val="6E083A3A"/>
    <w:rsid w:val="6E087675"/>
    <w:rsid w:val="6E091DE0"/>
    <w:rsid w:val="6E096600"/>
    <w:rsid w:val="6E0C25BB"/>
    <w:rsid w:val="6E0C6E87"/>
    <w:rsid w:val="6E116D85"/>
    <w:rsid w:val="6E14501E"/>
    <w:rsid w:val="6E176DEE"/>
    <w:rsid w:val="6E1E46C3"/>
    <w:rsid w:val="6E2434B3"/>
    <w:rsid w:val="6E2675FD"/>
    <w:rsid w:val="6E2D4B69"/>
    <w:rsid w:val="6E3542EC"/>
    <w:rsid w:val="6E3A10AB"/>
    <w:rsid w:val="6E41129D"/>
    <w:rsid w:val="6E4770FB"/>
    <w:rsid w:val="6E4B627E"/>
    <w:rsid w:val="6E6435F3"/>
    <w:rsid w:val="6E696A92"/>
    <w:rsid w:val="6E7A0535"/>
    <w:rsid w:val="6E8342BE"/>
    <w:rsid w:val="6E8B0760"/>
    <w:rsid w:val="6E8E3022"/>
    <w:rsid w:val="6E9259F7"/>
    <w:rsid w:val="6E9266E5"/>
    <w:rsid w:val="6E93015D"/>
    <w:rsid w:val="6E951B7C"/>
    <w:rsid w:val="6E980E86"/>
    <w:rsid w:val="6E991324"/>
    <w:rsid w:val="6E995A36"/>
    <w:rsid w:val="6EA230CA"/>
    <w:rsid w:val="6EA604AB"/>
    <w:rsid w:val="6EA825A5"/>
    <w:rsid w:val="6EB0792B"/>
    <w:rsid w:val="6EB80447"/>
    <w:rsid w:val="6EB87A7F"/>
    <w:rsid w:val="6EC83695"/>
    <w:rsid w:val="6ED31FA2"/>
    <w:rsid w:val="6ED749C9"/>
    <w:rsid w:val="6EDA1ADA"/>
    <w:rsid w:val="6EE937C3"/>
    <w:rsid w:val="6EED5F9B"/>
    <w:rsid w:val="6EF62DDC"/>
    <w:rsid w:val="6F02267F"/>
    <w:rsid w:val="6F0E52F9"/>
    <w:rsid w:val="6F0F318E"/>
    <w:rsid w:val="6F150A05"/>
    <w:rsid w:val="6F175211"/>
    <w:rsid w:val="6F176B74"/>
    <w:rsid w:val="6F216584"/>
    <w:rsid w:val="6F243884"/>
    <w:rsid w:val="6F2474E3"/>
    <w:rsid w:val="6F265CB7"/>
    <w:rsid w:val="6F2A281A"/>
    <w:rsid w:val="6F340E84"/>
    <w:rsid w:val="6F3904CC"/>
    <w:rsid w:val="6F414E9A"/>
    <w:rsid w:val="6F433E0D"/>
    <w:rsid w:val="6F4956EC"/>
    <w:rsid w:val="6F4D424A"/>
    <w:rsid w:val="6F547DC8"/>
    <w:rsid w:val="6F59119A"/>
    <w:rsid w:val="6F594C5F"/>
    <w:rsid w:val="6F5A3022"/>
    <w:rsid w:val="6F5E29F5"/>
    <w:rsid w:val="6F6417F5"/>
    <w:rsid w:val="6F647524"/>
    <w:rsid w:val="6F6B14A6"/>
    <w:rsid w:val="6F7408D1"/>
    <w:rsid w:val="6F830846"/>
    <w:rsid w:val="6F872C76"/>
    <w:rsid w:val="6F8866D3"/>
    <w:rsid w:val="6F8B3D98"/>
    <w:rsid w:val="6F8C225E"/>
    <w:rsid w:val="6F975F68"/>
    <w:rsid w:val="6FA00385"/>
    <w:rsid w:val="6FA81EC2"/>
    <w:rsid w:val="6FB31881"/>
    <w:rsid w:val="6FB668AF"/>
    <w:rsid w:val="6FB878C4"/>
    <w:rsid w:val="6FBD5075"/>
    <w:rsid w:val="6FC01DC2"/>
    <w:rsid w:val="6FC61FF9"/>
    <w:rsid w:val="6FCD2CC9"/>
    <w:rsid w:val="6FDD3277"/>
    <w:rsid w:val="6FE066E5"/>
    <w:rsid w:val="6FE23626"/>
    <w:rsid w:val="6FF869A5"/>
    <w:rsid w:val="6FF95089"/>
    <w:rsid w:val="70020341"/>
    <w:rsid w:val="7002798E"/>
    <w:rsid w:val="70155CF2"/>
    <w:rsid w:val="701A1E04"/>
    <w:rsid w:val="701D640C"/>
    <w:rsid w:val="70251764"/>
    <w:rsid w:val="7027113A"/>
    <w:rsid w:val="702774BC"/>
    <w:rsid w:val="70283269"/>
    <w:rsid w:val="702C39F1"/>
    <w:rsid w:val="702F613F"/>
    <w:rsid w:val="703160E1"/>
    <w:rsid w:val="70383246"/>
    <w:rsid w:val="703E6E48"/>
    <w:rsid w:val="7040497D"/>
    <w:rsid w:val="7041714E"/>
    <w:rsid w:val="70476700"/>
    <w:rsid w:val="70503EAE"/>
    <w:rsid w:val="70556990"/>
    <w:rsid w:val="70561960"/>
    <w:rsid w:val="70590B1F"/>
    <w:rsid w:val="706202C3"/>
    <w:rsid w:val="70640D6C"/>
    <w:rsid w:val="706B6349"/>
    <w:rsid w:val="706E4CF7"/>
    <w:rsid w:val="707864FC"/>
    <w:rsid w:val="707C2F3D"/>
    <w:rsid w:val="708C2772"/>
    <w:rsid w:val="708D13B9"/>
    <w:rsid w:val="7090613E"/>
    <w:rsid w:val="70970502"/>
    <w:rsid w:val="70974410"/>
    <w:rsid w:val="70A00DEB"/>
    <w:rsid w:val="70A628A5"/>
    <w:rsid w:val="70A76431"/>
    <w:rsid w:val="70AB60AD"/>
    <w:rsid w:val="70B44018"/>
    <w:rsid w:val="70D0468F"/>
    <w:rsid w:val="70D04B32"/>
    <w:rsid w:val="70D13A75"/>
    <w:rsid w:val="70D568D2"/>
    <w:rsid w:val="70D82746"/>
    <w:rsid w:val="70DC35BD"/>
    <w:rsid w:val="70E42476"/>
    <w:rsid w:val="70E9585B"/>
    <w:rsid w:val="70EB5B82"/>
    <w:rsid w:val="70F6069B"/>
    <w:rsid w:val="70F9788C"/>
    <w:rsid w:val="70FA499F"/>
    <w:rsid w:val="70FA57E4"/>
    <w:rsid w:val="71004415"/>
    <w:rsid w:val="710772B3"/>
    <w:rsid w:val="710D4881"/>
    <w:rsid w:val="710F0637"/>
    <w:rsid w:val="71114224"/>
    <w:rsid w:val="711228E8"/>
    <w:rsid w:val="711440DE"/>
    <w:rsid w:val="7116583B"/>
    <w:rsid w:val="711A615B"/>
    <w:rsid w:val="712556F8"/>
    <w:rsid w:val="71280D2F"/>
    <w:rsid w:val="71312CA0"/>
    <w:rsid w:val="713876CE"/>
    <w:rsid w:val="713903AB"/>
    <w:rsid w:val="713A5803"/>
    <w:rsid w:val="713D5953"/>
    <w:rsid w:val="71423649"/>
    <w:rsid w:val="71486018"/>
    <w:rsid w:val="7154574B"/>
    <w:rsid w:val="71554D77"/>
    <w:rsid w:val="71571E57"/>
    <w:rsid w:val="7157594D"/>
    <w:rsid w:val="715E09BD"/>
    <w:rsid w:val="71600CA6"/>
    <w:rsid w:val="71795354"/>
    <w:rsid w:val="717B6222"/>
    <w:rsid w:val="717D51E8"/>
    <w:rsid w:val="7186508E"/>
    <w:rsid w:val="718B225D"/>
    <w:rsid w:val="71922953"/>
    <w:rsid w:val="719306AC"/>
    <w:rsid w:val="71933828"/>
    <w:rsid w:val="71936634"/>
    <w:rsid w:val="719F6B90"/>
    <w:rsid w:val="71A05AB3"/>
    <w:rsid w:val="71A14E1B"/>
    <w:rsid w:val="71AF121D"/>
    <w:rsid w:val="71B0697B"/>
    <w:rsid w:val="71B278E6"/>
    <w:rsid w:val="71BB412E"/>
    <w:rsid w:val="71C01745"/>
    <w:rsid w:val="71C32647"/>
    <w:rsid w:val="71CA25C3"/>
    <w:rsid w:val="71CB3762"/>
    <w:rsid w:val="71CD2F74"/>
    <w:rsid w:val="71CE16FA"/>
    <w:rsid w:val="71D64D97"/>
    <w:rsid w:val="71DB0A21"/>
    <w:rsid w:val="71DD152F"/>
    <w:rsid w:val="71E202B2"/>
    <w:rsid w:val="71E37B96"/>
    <w:rsid w:val="71EF0891"/>
    <w:rsid w:val="71F15DA2"/>
    <w:rsid w:val="71F21F4F"/>
    <w:rsid w:val="71F563BB"/>
    <w:rsid w:val="71FB560B"/>
    <w:rsid w:val="720772E6"/>
    <w:rsid w:val="720A2788"/>
    <w:rsid w:val="72261BE4"/>
    <w:rsid w:val="72295E34"/>
    <w:rsid w:val="722C2DB0"/>
    <w:rsid w:val="72310F0A"/>
    <w:rsid w:val="72383D5F"/>
    <w:rsid w:val="72393EDE"/>
    <w:rsid w:val="723A33FA"/>
    <w:rsid w:val="72462954"/>
    <w:rsid w:val="7255498F"/>
    <w:rsid w:val="725952DE"/>
    <w:rsid w:val="72596B54"/>
    <w:rsid w:val="725B031A"/>
    <w:rsid w:val="725E4A17"/>
    <w:rsid w:val="72632360"/>
    <w:rsid w:val="726B5FDB"/>
    <w:rsid w:val="726D1DE3"/>
    <w:rsid w:val="726D44BA"/>
    <w:rsid w:val="726D7C03"/>
    <w:rsid w:val="727079F7"/>
    <w:rsid w:val="72730565"/>
    <w:rsid w:val="72784A1A"/>
    <w:rsid w:val="727A1589"/>
    <w:rsid w:val="727B7485"/>
    <w:rsid w:val="727C3377"/>
    <w:rsid w:val="727C60DC"/>
    <w:rsid w:val="727E1EE8"/>
    <w:rsid w:val="72840A90"/>
    <w:rsid w:val="728625A6"/>
    <w:rsid w:val="72896302"/>
    <w:rsid w:val="728C196A"/>
    <w:rsid w:val="72A74267"/>
    <w:rsid w:val="72AD38AB"/>
    <w:rsid w:val="72AD3C1D"/>
    <w:rsid w:val="72B31DB9"/>
    <w:rsid w:val="72B53EE6"/>
    <w:rsid w:val="72BD7A32"/>
    <w:rsid w:val="72C04A9E"/>
    <w:rsid w:val="72C53AB8"/>
    <w:rsid w:val="72C852FF"/>
    <w:rsid w:val="72CA024C"/>
    <w:rsid w:val="72CB65F3"/>
    <w:rsid w:val="72DA12F5"/>
    <w:rsid w:val="72E03720"/>
    <w:rsid w:val="72E96393"/>
    <w:rsid w:val="72FA2C5A"/>
    <w:rsid w:val="72FC27C4"/>
    <w:rsid w:val="72FF2D17"/>
    <w:rsid w:val="72FF7E98"/>
    <w:rsid w:val="730A55EC"/>
    <w:rsid w:val="730B1DFD"/>
    <w:rsid w:val="730B5B62"/>
    <w:rsid w:val="73141C9C"/>
    <w:rsid w:val="73161E8F"/>
    <w:rsid w:val="73177CCB"/>
    <w:rsid w:val="73183738"/>
    <w:rsid w:val="731B00BA"/>
    <w:rsid w:val="731B045F"/>
    <w:rsid w:val="731B383E"/>
    <w:rsid w:val="73267223"/>
    <w:rsid w:val="7328699A"/>
    <w:rsid w:val="73317B87"/>
    <w:rsid w:val="733E758B"/>
    <w:rsid w:val="73410663"/>
    <w:rsid w:val="73417E43"/>
    <w:rsid w:val="734221BE"/>
    <w:rsid w:val="734B6733"/>
    <w:rsid w:val="735470A9"/>
    <w:rsid w:val="736714AF"/>
    <w:rsid w:val="73676995"/>
    <w:rsid w:val="736C567E"/>
    <w:rsid w:val="736C7D35"/>
    <w:rsid w:val="737142EC"/>
    <w:rsid w:val="73716965"/>
    <w:rsid w:val="73734554"/>
    <w:rsid w:val="73760765"/>
    <w:rsid w:val="737F73DD"/>
    <w:rsid w:val="737F7D92"/>
    <w:rsid w:val="73813A18"/>
    <w:rsid w:val="738D219C"/>
    <w:rsid w:val="738D6D07"/>
    <w:rsid w:val="738E5FF7"/>
    <w:rsid w:val="73935CC3"/>
    <w:rsid w:val="7397649F"/>
    <w:rsid w:val="739A4873"/>
    <w:rsid w:val="73A34E7A"/>
    <w:rsid w:val="73B41748"/>
    <w:rsid w:val="73BF1ECF"/>
    <w:rsid w:val="73E667C0"/>
    <w:rsid w:val="73E671FA"/>
    <w:rsid w:val="73EE0A48"/>
    <w:rsid w:val="73EF3553"/>
    <w:rsid w:val="73F17BF8"/>
    <w:rsid w:val="73F44B5C"/>
    <w:rsid w:val="73FB0AB1"/>
    <w:rsid w:val="740117DF"/>
    <w:rsid w:val="741A3097"/>
    <w:rsid w:val="741B41E8"/>
    <w:rsid w:val="741D1844"/>
    <w:rsid w:val="741D1FF9"/>
    <w:rsid w:val="741F35C9"/>
    <w:rsid w:val="74252328"/>
    <w:rsid w:val="742F2BB2"/>
    <w:rsid w:val="74320955"/>
    <w:rsid w:val="743D076E"/>
    <w:rsid w:val="74432BEE"/>
    <w:rsid w:val="74482D27"/>
    <w:rsid w:val="744E0641"/>
    <w:rsid w:val="744E2B8C"/>
    <w:rsid w:val="74514267"/>
    <w:rsid w:val="74575594"/>
    <w:rsid w:val="745D327B"/>
    <w:rsid w:val="746845C2"/>
    <w:rsid w:val="746960C4"/>
    <w:rsid w:val="74736F42"/>
    <w:rsid w:val="747433F0"/>
    <w:rsid w:val="74747202"/>
    <w:rsid w:val="747A27AA"/>
    <w:rsid w:val="7487479C"/>
    <w:rsid w:val="7489432A"/>
    <w:rsid w:val="7496329C"/>
    <w:rsid w:val="749B4FAE"/>
    <w:rsid w:val="749E5641"/>
    <w:rsid w:val="74A07BEC"/>
    <w:rsid w:val="74B14D6D"/>
    <w:rsid w:val="74B300ED"/>
    <w:rsid w:val="74B32F90"/>
    <w:rsid w:val="74B51309"/>
    <w:rsid w:val="74B532CD"/>
    <w:rsid w:val="74BB608B"/>
    <w:rsid w:val="74BD0EAB"/>
    <w:rsid w:val="74C04977"/>
    <w:rsid w:val="74C170FE"/>
    <w:rsid w:val="74C31D12"/>
    <w:rsid w:val="74C871CD"/>
    <w:rsid w:val="74CB0B2C"/>
    <w:rsid w:val="74DA48CB"/>
    <w:rsid w:val="74E10B8E"/>
    <w:rsid w:val="74E155CA"/>
    <w:rsid w:val="74E44251"/>
    <w:rsid w:val="74E4574A"/>
    <w:rsid w:val="74E8428C"/>
    <w:rsid w:val="74EC5AA7"/>
    <w:rsid w:val="74ED1C11"/>
    <w:rsid w:val="74F51705"/>
    <w:rsid w:val="75042E91"/>
    <w:rsid w:val="750951B1"/>
    <w:rsid w:val="750B5262"/>
    <w:rsid w:val="75151552"/>
    <w:rsid w:val="75205E9C"/>
    <w:rsid w:val="7521523A"/>
    <w:rsid w:val="75477C2C"/>
    <w:rsid w:val="75576E0F"/>
    <w:rsid w:val="755E010E"/>
    <w:rsid w:val="756A0063"/>
    <w:rsid w:val="756E10EF"/>
    <w:rsid w:val="757E571D"/>
    <w:rsid w:val="75872845"/>
    <w:rsid w:val="75881D1A"/>
    <w:rsid w:val="75940F3F"/>
    <w:rsid w:val="75954C96"/>
    <w:rsid w:val="759943C2"/>
    <w:rsid w:val="759A1236"/>
    <w:rsid w:val="759F2735"/>
    <w:rsid w:val="75A23BF0"/>
    <w:rsid w:val="75B07D22"/>
    <w:rsid w:val="75B42083"/>
    <w:rsid w:val="75B727BC"/>
    <w:rsid w:val="75BD108D"/>
    <w:rsid w:val="75C3318B"/>
    <w:rsid w:val="75C66364"/>
    <w:rsid w:val="75CD5E78"/>
    <w:rsid w:val="75CF5679"/>
    <w:rsid w:val="75D11607"/>
    <w:rsid w:val="75DE4FC5"/>
    <w:rsid w:val="75DF5F11"/>
    <w:rsid w:val="75E458DE"/>
    <w:rsid w:val="75E51F67"/>
    <w:rsid w:val="75E83E69"/>
    <w:rsid w:val="75E91521"/>
    <w:rsid w:val="75E95302"/>
    <w:rsid w:val="75F2038A"/>
    <w:rsid w:val="75FF5DC0"/>
    <w:rsid w:val="76010D7D"/>
    <w:rsid w:val="760F3069"/>
    <w:rsid w:val="760F67F7"/>
    <w:rsid w:val="761B4514"/>
    <w:rsid w:val="761C22F9"/>
    <w:rsid w:val="76263B40"/>
    <w:rsid w:val="76270807"/>
    <w:rsid w:val="76284516"/>
    <w:rsid w:val="762A5502"/>
    <w:rsid w:val="762B5714"/>
    <w:rsid w:val="762C056B"/>
    <w:rsid w:val="7635334F"/>
    <w:rsid w:val="76354D2F"/>
    <w:rsid w:val="7639500C"/>
    <w:rsid w:val="764A2425"/>
    <w:rsid w:val="76543B12"/>
    <w:rsid w:val="765E0D16"/>
    <w:rsid w:val="766D264C"/>
    <w:rsid w:val="76733229"/>
    <w:rsid w:val="76750709"/>
    <w:rsid w:val="76772B38"/>
    <w:rsid w:val="767E29FC"/>
    <w:rsid w:val="7686785D"/>
    <w:rsid w:val="76875B4E"/>
    <w:rsid w:val="768841E8"/>
    <w:rsid w:val="76893F30"/>
    <w:rsid w:val="768A4CF1"/>
    <w:rsid w:val="768B1152"/>
    <w:rsid w:val="76976EBA"/>
    <w:rsid w:val="76A747D8"/>
    <w:rsid w:val="76A766E0"/>
    <w:rsid w:val="76B31878"/>
    <w:rsid w:val="76B949B4"/>
    <w:rsid w:val="76BB6B99"/>
    <w:rsid w:val="76BC76E9"/>
    <w:rsid w:val="76C03F76"/>
    <w:rsid w:val="76C122C5"/>
    <w:rsid w:val="76C53C2F"/>
    <w:rsid w:val="76C826A5"/>
    <w:rsid w:val="76D37824"/>
    <w:rsid w:val="76D748B4"/>
    <w:rsid w:val="76F2432B"/>
    <w:rsid w:val="76F41ABF"/>
    <w:rsid w:val="76F7344E"/>
    <w:rsid w:val="76F854DD"/>
    <w:rsid w:val="76F931A7"/>
    <w:rsid w:val="76FF1263"/>
    <w:rsid w:val="77074D78"/>
    <w:rsid w:val="77083F04"/>
    <w:rsid w:val="771C4AFE"/>
    <w:rsid w:val="771F45DD"/>
    <w:rsid w:val="772A7A04"/>
    <w:rsid w:val="772E0EFE"/>
    <w:rsid w:val="77366322"/>
    <w:rsid w:val="773842AE"/>
    <w:rsid w:val="774249AA"/>
    <w:rsid w:val="774B59BD"/>
    <w:rsid w:val="77532D86"/>
    <w:rsid w:val="77532F0F"/>
    <w:rsid w:val="775617A6"/>
    <w:rsid w:val="775700F2"/>
    <w:rsid w:val="775A1CF3"/>
    <w:rsid w:val="77641B1C"/>
    <w:rsid w:val="776433A4"/>
    <w:rsid w:val="776E4AF6"/>
    <w:rsid w:val="7770225A"/>
    <w:rsid w:val="77730FF5"/>
    <w:rsid w:val="77762C8C"/>
    <w:rsid w:val="77782C9E"/>
    <w:rsid w:val="77782DDB"/>
    <w:rsid w:val="77836C77"/>
    <w:rsid w:val="7784524C"/>
    <w:rsid w:val="7785548C"/>
    <w:rsid w:val="77873AD8"/>
    <w:rsid w:val="77A66815"/>
    <w:rsid w:val="77AD3CB3"/>
    <w:rsid w:val="77B05B5F"/>
    <w:rsid w:val="77B07D0A"/>
    <w:rsid w:val="77B6752B"/>
    <w:rsid w:val="77B83CDC"/>
    <w:rsid w:val="77BD068D"/>
    <w:rsid w:val="77BF51B7"/>
    <w:rsid w:val="77C62413"/>
    <w:rsid w:val="77CF715D"/>
    <w:rsid w:val="77D4770E"/>
    <w:rsid w:val="77DC3339"/>
    <w:rsid w:val="77E14EF4"/>
    <w:rsid w:val="77E37895"/>
    <w:rsid w:val="77E603A2"/>
    <w:rsid w:val="77F0000A"/>
    <w:rsid w:val="77F93201"/>
    <w:rsid w:val="77FC7A17"/>
    <w:rsid w:val="77FF06CE"/>
    <w:rsid w:val="780F2850"/>
    <w:rsid w:val="7810500D"/>
    <w:rsid w:val="781B7A32"/>
    <w:rsid w:val="78260558"/>
    <w:rsid w:val="78321F19"/>
    <w:rsid w:val="78357698"/>
    <w:rsid w:val="78390FAA"/>
    <w:rsid w:val="783D121E"/>
    <w:rsid w:val="783E30A2"/>
    <w:rsid w:val="783F3EB1"/>
    <w:rsid w:val="783F7D3B"/>
    <w:rsid w:val="784174FD"/>
    <w:rsid w:val="7842018A"/>
    <w:rsid w:val="78455E52"/>
    <w:rsid w:val="785250C1"/>
    <w:rsid w:val="785845E0"/>
    <w:rsid w:val="7865231B"/>
    <w:rsid w:val="78685115"/>
    <w:rsid w:val="7870496E"/>
    <w:rsid w:val="7879637D"/>
    <w:rsid w:val="78813D4B"/>
    <w:rsid w:val="78825CCF"/>
    <w:rsid w:val="78836625"/>
    <w:rsid w:val="78852DA0"/>
    <w:rsid w:val="78866B18"/>
    <w:rsid w:val="78881D54"/>
    <w:rsid w:val="7892785C"/>
    <w:rsid w:val="78995BAA"/>
    <w:rsid w:val="78A21246"/>
    <w:rsid w:val="78BC610C"/>
    <w:rsid w:val="78BC7CD3"/>
    <w:rsid w:val="78C16C50"/>
    <w:rsid w:val="78C46E40"/>
    <w:rsid w:val="78C91821"/>
    <w:rsid w:val="78C93287"/>
    <w:rsid w:val="78C94EF7"/>
    <w:rsid w:val="78CD6FD7"/>
    <w:rsid w:val="78DB6E64"/>
    <w:rsid w:val="78E041ED"/>
    <w:rsid w:val="78E0709E"/>
    <w:rsid w:val="78E22D40"/>
    <w:rsid w:val="78E907A1"/>
    <w:rsid w:val="78F33BCD"/>
    <w:rsid w:val="78F47BCA"/>
    <w:rsid w:val="78F817C4"/>
    <w:rsid w:val="78F8357F"/>
    <w:rsid w:val="78FE015B"/>
    <w:rsid w:val="78FE314E"/>
    <w:rsid w:val="78FE4AF0"/>
    <w:rsid w:val="79024BA0"/>
    <w:rsid w:val="790375AB"/>
    <w:rsid w:val="790E5115"/>
    <w:rsid w:val="79185245"/>
    <w:rsid w:val="7919798C"/>
    <w:rsid w:val="79231BA0"/>
    <w:rsid w:val="79277619"/>
    <w:rsid w:val="792E2470"/>
    <w:rsid w:val="795059E1"/>
    <w:rsid w:val="79532E9E"/>
    <w:rsid w:val="79545593"/>
    <w:rsid w:val="795B3988"/>
    <w:rsid w:val="795D737B"/>
    <w:rsid w:val="795D7CE7"/>
    <w:rsid w:val="796129EC"/>
    <w:rsid w:val="79621542"/>
    <w:rsid w:val="796430DC"/>
    <w:rsid w:val="796A4B72"/>
    <w:rsid w:val="79716846"/>
    <w:rsid w:val="79755E56"/>
    <w:rsid w:val="7984574E"/>
    <w:rsid w:val="79860A09"/>
    <w:rsid w:val="798D2300"/>
    <w:rsid w:val="799531B2"/>
    <w:rsid w:val="799A2789"/>
    <w:rsid w:val="799C53EA"/>
    <w:rsid w:val="79A35CF6"/>
    <w:rsid w:val="79A81F22"/>
    <w:rsid w:val="79AA3EDD"/>
    <w:rsid w:val="79AC2395"/>
    <w:rsid w:val="79B951EB"/>
    <w:rsid w:val="79BC6C95"/>
    <w:rsid w:val="79BF3D0C"/>
    <w:rsid w:val="79C3507F"/>
    <w:rsid w:val="79C860BB"/>
    <w:rsid w:val="79D302DB"/>
    <w:rsid w:val="79D3654F"/>
    <w:rsid w:val="79D97663"/>
    <w:rsid w:val="79DA02CD"/>
    <w:rsid w:val="79E23544"/>
    <w:rsid w:val="79E878C6"/>
    <w:rsid w:val="79EB594E"/>
    <w:rsid w:val="79ED2611"/>
    <w:rsid w:val="79EF4DAC"/>
    <w:rsid w:val="79F0168D"/>
    <w:rsid w:val="79F35A93"/>
    <w:rsid w:val="79F62EE0"/>
    <w:rsid w:val="79F67F1B"/>
    <w:rsid w:val="79F71A7C"/>
    <w:rsid w:val="79F95C22"/>
    <w:rsid w:val="79FA09C0"/>
    <w:rsid w:val="79FE242B"/>
    <w:rsid w:val="7A0A4859"/>
    <w:rsid w:val="7A1313C7"/>
    <w:rsid w:val="7A132DC3"/>
    <w:rsid w:val="7A13496C"/>
    <w:rsid w:val="7A1545F8"/>
    <w:rsid w:val="7A167048"/>
    <w:rsid w:val="7A1A3523"/>
    <w:rsid w:val="7A1D5C42"/>
    <w:rsid w:val="7A214D4A"/>
    <w:rsid w:val="7A230AC3"/>
    <w:rsid w:val="7A2423E8"/>
    <w:rsid w:val="7A2672A1"/>
    <w:rsid w:val="7A2A2F9E"/>
    <w:rsid w:val="7A2B17EC"/>
    <w:rsid w:val="7A360EBD"/>
    <w:rsid w:val="7A362780"/>
    <w:rsid w:val="7A3953AF"/>
    <w:rsid w:val="7A3F79A2"/>
    <w:rsid w:val="7A4110C6"/>
    <w:rsid w:val="7A474146"/>
    <w:rsid w:val="7A4B6736"/>
    <w:rsid w:val="7A4B6BC6"/>
    <w:rsid w:val="7A4D67B8"/>
    <w:rsid w:val="7A5F759E"/>
    <w:rsid w:val="7A602568"/>
    <w:rsid w:val="7A862D06"/>
    <w:rsid w:val="7A8971FE"/>
    <w:rsid w:val="7A897265"/>
    <w:rsid w:val="7A950C31"/>
    <w:rsid w:val="7A9A31EE"/>
    <w:rsid w:val="7A9C6E1F"/>
    <w:rsid w:val="7A9E0EF1"/>
    <w:rsid w:val="7AA339B1"/>
    <w:rsid w:val="7AA546B8"/>
    <w:rsid w:val="7AA70BE4"/>
    <w:rsid w:val="7AB01096"/>
    <w:rsid w:val="7AB47E89"/>
    <w:rsid w:val="7AB7399E"/>
    <w:rsid w:val="7ABB2C05"/>
    <w:rsid w:val="7ABB7601"/>
    <w:rsid w:val="7AC076ED"/>
    <w:rsid w:val="7AC502D6"/>
    <w:rsid w:val="7ACC115A"/>
    <w:rsid w:val="7ACF0741"/>
    <w:rsid w:val="7AD1051F"/>
    <w:rsid w:val="7AD30AC4"/>
    <w:rsid w:val="7ADE0A3A"/>
    <w:rsid w:val="7ADF558F"/>
    <w:rsid w:val="7ADF587C"/>
    <w:rsid w:val="7AE52552"/>
    <w:rsid w:val="7AEC6394"/>
    <w:rsid w:val="7AF26B0D"/>
    <w:rsid w:val="7AF50600"/>
    <w:rsid w:val="7AF80FC9"/>
    <w:rsid w:val="7B025839"/>
    <w:rsid w:val="7B05466C"/>
    <w:rsid w:val="7B061D5F"/>
    <w:rsid w:val="7B136D89"/>
    <w:rsid w:val="7B1870FC"/>
    <w:rsid w:val="7B191EC6"/>
    <w:rsid w:val="7B2217A6"/>
    <w:rsid w:val="7B2C2E5B"/>
    <w:rsid w:val="7B2E7D68"/>
    <w:rsid w:val="7B2F5245"/>
    <w:rsid w:val="7B474790"/>
    <w:rsid w:val="7B4958F0"/>
    <w:rsid w:val="7B4C5B5C"/>
    <w:rsid w:val="7B4D3EE1"/>
    <w:rsid w:val="7B5900ED"/>
    <w:rsid w:val="7B651994"/>
    <w:rsid w:val="7B651E9B"/>
    <w:rsid w:val="7B697B36"/>
    <w:rsid w:val="7B7671D0"/>
    <w:rsid w:val="7B777341"/>
    <w:rsid w:val="7B845915"/>
    <w:rsid w:val="7B8751B4"/>
    <w:rsid w:val="7B8A0151"/>
    <w:rsid w:val="7B8A691F"/>
    <w:rsid w:val="7B8D04D6"/>
    <w:rsid w:val="7B912EEB"/>
    <w:rsid w:val="7B9A6841"/>
    <w:rsid w:val="7BB06386"/>
    <w:rsid w:val="7BB079A9"/>
    <w:rsid w:val="7BC36620"/>
    <w:rsid w:val="7BCB447B"/>
    <w:rsid w:val="7BCE2CB0"/>
    <w:rsid w:val="7BD21A84"/>
    <w:rsid w:val="7BD33949"/>
    <w:rsid w:val="7BE97AEA"/>
    <w:rsid w:val="7BEE58C9"/>
    <w:rsid w:val="7BF56DD7"/>
    <w:rsid w:val="7BF974B5"/>
    <w:rsid w:val="7BFC031E"/>
    <w:rsid w:val="7C035824"/>
    <w:rsid w:val="7C0B7A60"/>
    <w:rsid w:val="7C12362E"/>
    <w:rsid w:val="7C1B790C"/>
    <w:rsid w:val="7C1C5559"/>
    <w:rsid w:val="7C1F175E"/>
    <w:rsid w:val="7C2B1EB0"/>
    <w:rsid w:val="7C2D283A"/>
    <w:rsid w:val="7C346058"/>
    <w:rsid w:val="7C3670A1"/>
    <w:rsid w:val="7C3A0345"/>
    <w:rsid w:val="7C3B7D2F"/>
    <w:rsid w:val="7C487E51"/>
    <w:rsid w:val="7C5022F9"/>
    <w:rsid w:val="7C505C19"/>
    <w:rsid w:val="7C594850"/>
    <w:rsid w:val="7C613B24"/>
    <w:rsid w:val="7C652B73"/>
    <w:rsid w:val="7C744829"/>
    <w:rsid w:val="7C7E4366"/>
    <w:rsid w:val="7C865339"/>
    <w:rsid w:val="7C8C22F5"/>
    <w:rsid w:val="7CA906ED"/>
    <w:rsid w:val="7CAB0300"/>
    <w:rsid w:val="7CB011F9"/>
    <w:rsid w:val="7CB14AD7"/>
    <w:rsid w:val="7CB7168C"/>
    <w:rsid w:val="7CBC0D5A"/>
    <w:rsid w:val="7CC059DE"/>
    <w:rsid w:val="7CC54A3C"/>
    <w:rsid w:val="7CCA1A21"/>
    <w:rsid w:val="7CCA3477"/>
    <w:rsid w:val="7CD11CA0"/>
    <w:rsid w:val="7CD62F39"/>
    <w:rsid w:val="7CD75B94"/>
    <w:rsid w:val="7CE24C65"/>
    <w:rsid w:val="7CE92BAD"/>
    <w:rsid w:val="7CF22153"/>
    <w:rsid w:val="7CF502B5"/>
    <w:rsid w:val="7CF674E9"/>
    <w:rsid w:val="7CF82459"/>
    <w:rsid w:val="7CF91FAF"/>
    <w:rsid w:val="7D033862"/>
    <w:rsid w:val="7D036989"/>
    <w:rsid w:val="7D090CF2"/>
    <w:rsid w:val="7D0F17D2"/>
    <w:rsid w:val="7D10068B"/>
    <w:rsid w:val="7D172D70"/>
    <w:rsid w:val="7D1939AA"/>
    <w:rsid w:val="7D282068"/>
    <w:rsid w:val="7D296814"/>
    <w:rsid w:val="7D2C69A0"/>
    <w:rsid w:val="7D2E7EAA"/>
    <w:rsid w:val="7D370572"/>
    <w:rsid w:val="7D3D4709"/>
    <w:rsid w:val="7D410DAE"/>
    <w:rsid w:val="7D487155"/>
    <w:rsid w:val="7D4A5057"/>
    <w:rsid w:val="7D513B99"/>
    <w:rsid w:val="7D550D5C"/>
    <w:rsid w:val="7D5718B0"/>
    <w:rsid w:val="7D580FFF"/>
    <w:rsid w:val="7D5A122B"/>
    <w:rsid w:val="7D667049"/>
    <w:rsid w:val="7D6F2ACB"/>
    <w:rsid w:val="7D7024FD"/>
    <w:rsid w:val="7D7620AE"/>
    <w:rsid w:val="7D823B74"/>
    <w:rsid w:val="7D8F00CC"/>
    <w:rsid w:val="7D8F57EA"/>
    <w:rsid w:val="7D9F18CC"/>
    <w:rsid w:val="7DAB0417"/>
    <w:rsid w:val="7DAC1A78"/>
    <w:rsid w:val="7DAC7C59"/>
    <w:rsid w:val="7DAE7661"/>
    <w:rsid w:val="7DB75517"/>
    <w:rsid w:val="7DBB781D"/>
    <w:rsid w:val="7DC57AB2"/>
    <w:rsid w:val="7DC9372F"/>
    <w:rsid w:val="7DCD552B"/>
    <w:rsid w:val="7DCD7ADD"/>
    <w:rsid w:val="7DCD7B5A"/>
    <w:rsid w:val="7DE2248B"/>
    <w:rsid w:val="7DF36ED1"/>
    <w:rsid w:val="7DF6447D"/>
    <w:rsid w:val="7DF67F08"/>
    <w:rsid w:val="7DFC52EC"/>
    <w:rsid w:val="7DFF0F14"/>
    <w:rsid w:val="7E0429B9"/>
    <w:rsid w:val="7E0458E0"/>
    <w:rsid w:val="7E0D7E97"/>
    <w:rsid w:val="7E170FA9"/>
    <w:rsid w:val="7E1A4E63"/>
    <w:rsid w:val="7E206945"/>
    <w:rsid w:val="7E2137CE"/>
    <w:rsid w:val="7E221091"/>
    <w:rsid w:val="7E2357FE"/>
    <w:rsid w:val="7E2E07B2"/>
    <w:rsid w:val="7E33150F"/>
    <w:rsid w:val="7E357948"/>
    <w:rsid w:val="7E3D5BB9"/>
    <w:rsid w:val="7E3F6364"/>
    <w:rsid w:val="7E494870"/>
    <w:rsid w:val="7E4C5D13"/>
    <w:rsid w:val="7E4E00D8"/>
    <w:rsid w:val="7E506E63"/>
    <w:rsid w:val="7E686A1B"/>
    <w:rsid w:val="7E702F6C"/>
    <w:rsid w:val="7E703C9D"/>
    <w:rsid w:val="7E73173B"/>
    <w:rsid w:val="7E7D2E4B"/>
    <w:rsid w:val="7E7F64E4"/>
    <w:rsid w:val="7E814636"/>
    <w:rsid w:val="7E817E81"/>
    <w:rsid w:val="7E8467A3"/>
    <w:rsid w:val="7E891CCD"/>
    <w:rsid w:val="7E952DC7"/>
    <w:rsid w:val="7E9A0859"/>
    <w:rsid w:val="7E9B1692"/>
    <w:rsid w:val="7EA93F30"/>
    <w:rsid w:val="7EB73ECF"/>
    <w:rsid w:val="7EC06C31"/>
    <w:rsid w:val="7EC36119"/>
    <w:rsid w:val="7EC6284A"/>
    <w:rsid w:val="7ECD4919"/>
    <w:rsid w:val="7ECF07EC"/>
    <w:rsid w:val="7ED846A5"/>
    <w:rsid w:val="7EDA047A"/>
    <w:rsid w:val="7EE30C5A"/>
    <w:rsid w:val="7EED3E6A"/>
    <w:rsid w:val="7F0312CA"/>
    <w:rsid w:val="7F0A3B48"/>
    <w:rsid w:val="7F182444"/>
    <w:rsid w:val="7F1B6124"/>
    <w:rsid w:val="7F1D304F"/>
    <w:rsid w:val="7F25125F"/>
    <w:rsid w:val="7F2826D7"/>
    <w:rsid w:val="7F337E68"/>
    <w:rsid w:val="7F395EB7"/>
    <w:rsid w:val="7F3B43A9"/>
    <w:rsid w:val="7F3C6514"/>
    <w:rsid w:val="7F3E395F"/>
    <w:rsid w:val="7F4123C6"/>
    <w:rsid w:val="7F4D6AD8"/>
    <w:rsid w:val="7F5114BE"/>
    <w:rsid w:val="7F58003A"/>
    <w:rsid w:val="7F583065"/>
    <w:rsid w:val="7F601E71"/>
    <w:rsid w:val="7F634B39"/>
    <w:rsid w:val="7F700CFC"/>
    <w:rsid w:val="7F74591C"/>
    <w:rsid w:val="7F7678E7"/>
    <w:rsid w:val="7F7C76C3"/>
    <w:rsid w:val="7F7F2A24"/>
    <w:rsid w:val="7F81693C"/>
    <w:rsid w:val="7F89761A"/>
    <w:rsid w:val="7F8A7826"/>
    <w:rsid w:val="7F911E81"/>
    <w:rsid w:val="7F9C5934"/>
    <w:rsid w:val="7FA40414"/>
    <w:rsid w:val="7FA404D5"/>
    <w:rsid w:val="7FA50325"/>
    <w:rsid w:val="7FA840C2"/>
    <w:rsid w:val="7FAC48D8"/>
    <w:rsid w:val="7FAC50B6"/>
    <w:rsid w:val="7FAE4589"/>
    <w:rsid w:val="7FAF1ACE"/>
    <w:rsid w:val="7FB339C0"/>
    <w:rsid w:val="7FB91594"/>
    <w:rsid w:val="7FBC4B58"/>
    <w:rsid w:val="7FBE4994"/>
    <w:rsid w:val="7FC13057"/>
    <w:rsid w:val="7FC13DA6"/>
    <w:rsid w:val="7FC623EE"/>
    <w:rsid w:val="7FC80937"/>
    <w:rsid w:val="7FC82AD1"/>
    <w:rsid w:val="7FC97B29"/>
    <w:rsid w:val="7FCD46F9"/>
    <w:rsid w:val="7FD00B21"/>
    <w:rsid w:val="7FD16FCF"/>
    <w:rsid w:val="7FD54154"/>
    <w:rsid w:val="7FE70C4B"/>
    <w:rsid w:val="7FEC15ED"/>
    <w:rsid w:val="7FF938A5"/>
    <w:rsid w:val="7FFD179E"/>
    <w:rsid w:val="7FFD1DB6"/>
    <w:rsid w:val="7FFD7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32" w:firstLineChars="20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qFormat/>
    <w:uiPriority w:val="9"/>
    <w:pPr>
      <w:keepNext/>
      <w:keepLines/>
      <w:numPr>
        <w:ilvl w:val="0"/>
        <w:numId w:val="1"/>
      </w:numPr>
      <w:spacing w:before="340" w:after="330"/>
      <w:ind w:firstLine="0" w:firstLineChars="0"/>
      <w:outlineLvl w:val="0"/>
    </w:pPr>
    <w:rPr>
      <w:rFonts w:eastAsia="宋体"/>
      <w:b/>
      <w:bCs/>
      <w:kern w:val="44"/>
      <w:szCs w:val="24"/>
    </w:rPr>
  </w:style>
  <w:style w:type="paragraph" w:styleId="3">
    <w:name w:val="heading 2"/>
    <w:basedOn w:val="1"/>
    <w:next w:val="1"/>
    <w:semiHidden/>
    <w:unhideWhenUsed/>
    <w:qFormat/>
    <w:uiPriority w:val="9"/>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1"/>
    <w:semiHidden/>
    <w:unhideWhenUsed/>
    <w:qFormat/>
    <w:uiPriority w:val="9"/>
    <w:pPr>
      <w:keepNext/>
      <w:keepLines/>
      <w:numPr>
        <w:ilvl w:val="2"/>
        <w:numId w:val="2"/>
      </w:numPr>
      <w:spacing w:before="260" w:after="260" w:line="413" w:lineRule="auto"/>
      <w:outlineLvl w:val="2"/>
    </w:pPr>
    <w:rPr>
      <w:b/>
      <w:sz w:val="32"/>
    </w:rPr>
  </w:style>
  <w:style w:type="paragraph" w:styleId="5">
    <w:name w:val="heading 4"/>
    <w:basedOn w:val="1"/>
    <w:next w:val="1"/>
    <w:semiHidden/>
    <w:unhideWhenUsed/>
    <w:qFormat/>
    <w:uiPriority w:val="9"/>
    <w:pPr>
      <w:keepNext/>
      <w:keepLines/>
      <w:numPr>
        <w:ilvl w:val="3"/>
        <w:numId w:val="3"/>
      </w:numPr>
      <w:spacing w:before="280" w:after="290" w:line="372" w:lineRule="auto"/>
      <w:outlineLvl w:val="3"/>
    </w:pPr>
    <w:rPr>
      <w:rFonts w:ascii="Arial" w:hAnsi="Arial" w:eastAsia="黑体"/>
      <w:b/>
      <w:sz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pPr>
      <w:spacing w:before="152" w:after="160"/>
    </w:pPr>
    <w:rPr>
      <w:rFonts w:ascii="Arial" w:hAnsi="Arial" w:eastAsia="黑体" w:cs="Arial"/>
      <w:sz w:val="20"/>
      <w:szCs w:val="20"/>
    </w:rPr>
  </w:style>
  <w:style w:type="paragraph" w:styleId="7">
    <w:name w:val="toc 3"/>
    <w:basedOn w:val="1"/>
    <w:next w:val="1"/>
    <w:semiHidden/>
    <w:unhideWhenUsed/>
    <w:qFormat/>
    <w:uiPriority w:val="39"/>
    <w:pPr>
      <w:ind w:left="840" w:leftChars="400"/>
    </w:pPr>
  </w:style>
  <w:style w:type="paragraph" w:styleId="8">
    <w:name w:val="Balloon Text"/>
    <w:basedOn w:val="1"/>
    <w:link w:val="32"/>
    <w:qFormat/>
    <w:uiPriority w:val="0"/>
    <w:rPr>
      <w:rFonts w:eastAsia="宋体" w:cs="Times New Roman"/>
      <w:sz w:val="18"/>
      <w:szCs w:val="18"/>
    </w:rPr>
  </w:style>
  <w:style w:type="paragraph" w:styleId="9">
    <w:name w:val="footer"/>
    <w:basedOn w:val="1"/>
    <w:link w:val="27"/>
    <w:unhideWhenUsed/>
    <w:qFormat/>
    <w:uiPriority w:val="99"/>
    <w:pPr>
      <w:tabs>
        <w:tab w:val="center" w:pos="4153"/>
        <w:tab w:val="right" w:pos="8306"/>
      </w:tabs>
      <w:snapToGrid w:val="0"/>
      <w:jc w:val="left"/>
    </w:pPr>
    <w:rPr>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left" w:pos="630"/>
        <w:tab w:val="right" w:leader="dot" w:pos="8341"/>
      </w:tabs>
      <w:jc w:val="center"/>
    </w:pPr>
    <w:rPr>
      <w:rFonts w:eastAsia="宋体" w:cs="Times New Roman"/>
      <w:szCs w:val="24"/>
    </w:rPr>
  </w:style>
  <w:style w:type="paragraph" w:styleId="12">
    <w:name w:val="toc 2"/>
    <w:basedOn w:val="1"/>
    <w:next w:val="1"/>
    <w:unhideWhenUsed/>
    <w:qFormat/>
    <w:uiPriority w:val="39"/>
    <w:pPr>
      <w:ind w:left="420" w:leftChars="200"/>
    </w:pPr>
  </w:style>
  <w:style w:type="paragraph" w:styleId="13">
    <w:name w:val="Normal (Web)"/>
    <w:basedOn w:val="1"/>
    <w:semiHidden/>
    <w:unhideWhenUsed/>
    <w:qFormat/>
    <w:uiPriority w:val="99"/>
  </w:style>
  <w:style w:type="paragraph" w:styleId="14">
    <w:name w:val="Title"/>
    <w:basedOn w:val="1"/>
    <w:next w:val="1"/>
    <w:link w:val="21"/>
    <w:qFormat/>
    <w:uiPriority w:val="10"/>
    <w:pPr>
      <w:spacing w:before="240" w:after="60"/>
      <w:jc w:val="center"/>
      <w:outlineLvl w:val="0"/>
    </w:pPr>
    <w:rPr>
      <w:rFonts w:eastAsia="宋体" w:asciiTheme="majorHAnsi" w:hAnsiTheme="majorHAnsi" w:cstheme="majorBidi"/>
      <w:b/>
      <w:bCs/>
      <w:sz w:val="32"/>
      <w:szCs w:val="32"/>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0"/>
    <w:rPr>
      <w:rFonts w:ascii="Times New Roman" w:hAnsi="Times New Roman" w:eastAsia="宋体"/>
      <w:sz w:val="18"/>
    </w:rPr>
  </w:style>
  <w:style w:type="character" w:styleId="19">
    <w:name w:val="Hyperlink"/>
    <w:basedOn w:val="17"/>
    <w:semiHidden/>
    <w:unhideWhenUsed/>
    <w:qFormat/>
    <w:uiPriority w:val="99"/>
    <w:rPr>
      <w:color w:val="0000FF"/>
      <w:u w:val="single"/>
    </w:rPr>
  </w:style>
  <w:style w:type="character" w:styleId="20">
    <w:name w:val="HTML Sample"/>
    <w:qFormat/>
    <w:uiPriority w:val="0"/>
    <w:rPr>
      <w:rFonts w:ascii="Courier New" w:hAnsi="Courier New"/>
    </w:rPr>
  </w:style>
  <w:style w:type="character" w:customStyle="1" w:styleId="21">
    <w:name w:val="标题 字符"/>
    <w:basedOn w:val="17"/>
    <w:link w:val="14"/>
    <w:qFormat/>
    <w:uiPriority w:val="10"/>
    <w:rPr>
      <w:rFonts w:eastAsia="宋体" w:asciiTheme="majorHAnsi" w:hAnsiTheme="majorHAnsi" w:cstheme="majorBidi"/>
      <w:b/>
      <w:bCs/>
      <w:sz w:val="32"/>
      <w:szCs w:val="32"/>
    </w:rPr>
  </w:style>
  <w:style w:type="paragraph" w:customStyle="1" w:styleId="22">
    <w:name w:val="目次、标准名称标题"/>
    <w:basedOn w:val="23"/>
    <w:next w:val="24"/>
    <w:qFormat/>
    <w:uiPriority w:val="0"/>
    <w:pPr>
      <w:keepNext/>
      <w:pageBreakBefore/>
      <w:spacing w:line="460" w:lineRule="exact"/>
    </w:pPr>
  </w:style>
  <w:style w:type="paragraph" w:customStyle="1" w:styleId="23">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
    <w:name w:val="段"/>
    <w:link w:val="2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5">
    <w:name w:val="段 Char"/>
    <w:basedOn w:val="17"/>
    <w:link w:val="24"/>
    <w:qFormat/>
    <w:uiPriority w:val="0"/>
    <w:rPr>
      <w:rFonts w:ascii="宋体" w:hAnsi="Times New Roman" w:eastAsia="宋体" w:cs="Times New Roman"/>
      <w:kern w:val="0"/>
      <w:szCs w:val="20"/>
    </w:rPr>
  </w:style>
  <w:style w:type="character" w:customStyle="1" w:styleId="26">
    <w:name w:val="页眉 字符"/>
    <w:basedOn w:val="17"/>
    <w:link w:val="10"/>
    <w:semiHidden/>
    <w:qFormat/>
    <w:uiPriority w:val="99"/>
    <w:rPr>
      <w:sz w:val="18"/>
      <w:szCs w:val="18"/>
    </w:rPr>
  </w:style>
  <w:style w:type="character" w:customStyle="1" w:styleId="27">
    <w:name w:val="页脚 字符"/>
    <w:basedOn w:val="17"/>
    <w:link w:val="9"/>
    <w:qFormat/>
    <w:uiPriority w:val="99"/>
    <w:rPr>
      <w:sz w:val="18"/>
      <w:szCs w:val="18"/>
    </w:rPr>
  </w:style>
  <w:style w:type="paragraph" w:customStyle="1" w:styleId="28">
    <w:name w:val="一级条标题"/>
    <w:next w:val="24"/>
    <w:link w:val="34"/>
    <w:qFormat/>
    <w:uiPriority w:val="0"/>
    <w:pPr>
      <w:numPr>
        <w:ilvl w:val="0"/>
        <w:numId w:val="3"/>
      </w:numPr>
      <w:spacing w:before="50" w:beforeLines="50" w:after="50" w:afterLines="50" w:line="360" w:lineRule="auto"/>
      <w:outlineLvl w:val="2"/>
    </w:pPr>
    <w:rPr>
      <w:rFonts w:ascii="Times New Roman" w:hAnsi="Times New Roman" w:eastAsia="宋体" w:cs="Times New Roman"/>
      <w:b/>
      <w:bCs/>
      <w:sz w:val="24"/>
      <w:szCs w:val="24"/>
      <w:lang w:val="en-US" w:eastAsia="zh-CN" w:bidi="ar-SA"/>
    </w:rPr>
  </w:style>
  <w:style w:type="paragraph" w:styleId="29">
    <w:name w:val="List Paragraph"/>
    <w:basedOn w:val="1"/>
    <w:link w:val="35"/>
    <w:unhideWhenUsed/>
    <w:qFormat/>
    <w:uiPriority w:val="34"/>
    <w:pPr>
      <w:ind w:firstLine="420"/>
    </w:pPr>
  </w:style>
  <w:style w:type="paragraph" w:customStyle="1" w:styleId="30">
    <w:name w:val="Table Paragraph"/>
    <w:basedOn w:val="1"/>
    <w:link w:val="36"/>
    <w:qFormat/>
    <w:uiPriority w:val="1"/>
    <w:pPr>
      <w:autoSpaceDE w:val="0"/>
      <w:autoSpaceDN w:val="0"/>
      <w:jc w:val="left"/>
    </w:pPr>
    <w:rPr>
      <w:rFonts w:ascii="Arial Unicode MS" w:hAnsi="Arial Unicode MS" w:eastAsia="Arial Unicode MS" w:cs="Arial Unicode MS"/>
      <w:kern w:val="0"/>
      <w:sz w:val="22"/>
      <w:lang w:val="zh-CN" w:bidi="zh-CN"/>
    </w:rPr>
  </w:style>
  <w:style w:type="character" w:customStyle="1" w:styleId="31">
    <w:name w:val="段 Char Char"/>
    <w:qFormat/>
    <w:uiPriority w:val="0"/>
    <w:rPr>
      <w:rFonts w:ascii="宋体"/>
      <w:sz w:val="21"/>
      <w:lang w:val="en-US" w:eastAsia="zh-CN" w:bidi="ar-SA"/>
    </w:rPr>
  </w:style>
  <w:style w:type="character" w:customStyle="1" w:styleId="32">
    <w:name w:val="批注框文本 字符"/>
    <w:basedOn w:val="17"/>
    <w:link w:val="8"/>
    <w:qFormat/>
    <w:uiPriority w:val="0"/>
    <w:rPr>
      <w:kern w:val="2"/>
      <w:sz w:val="18"/>
      <w:szCs w:val="18"/>
    </w:rPr>
  </w:style>
  <w:style w:type="paragraph" w:customStyle="1" w:styleId="33">
    <w:name w:val="二级条标题"/>
    <w:basedOn w:val="28"/>
    <w:next w:val="24"/>
    <w:qFormat/>
    <w:uiPriority w:val="0"/>
    <w:pPr>
      <w:numPr>
        <w:ilvl w:val="1"/>
      </w:numPr>
      <w:outlineLvl w:val="3"/>
    </w:pPr>
  </w:style>
  <w:style w:type="character" w:customStyle="1" w:styleId="34">
    <w:name w:val="一级条标题 Char"/>
    <w:link w:val="28"/>
    <w:qFormat/>
    <w:uiPriority w:val="0"/>
    <w:rPr>
      <w:rFonts w:ascii="Times New Roman" w:hAnsi="Times New Roman" w:eastAsia="宋体" w:cs="Times New Roman"/>
      <w:b/>
      <w:bCs/>
      <w:sz w:val="24"/>
      <w:szCs w:val="24"/>
      <w:lang w:val="en-US" w:eastAsia="zh-CN" w:bidi="ar-SA"/>
    </w:rPr>
  </w:style>
  <w:style w:type="character" w:customStyle="1" w:styleId="35">
    <w:name w:val="列出段落 字符"/>
    <w:link w:val="29"/>
    <w:qFormat/>
    <w:uiPriority w:val="34"/>
  </w:style>
  <w:style w:type="character" w:customStyle="1" w:styleId="36">
    <w:name w:val="Table Paragraph Char"/>
    <w:link w:val="30"/>
    <w:qFormat/>
    <w:uiPriority w:val="1"/>
    <w:rPr>
      <w:rFonts w:ascii="Arial Unicode MS" w:hAnsi="Arial Unicode MS" w:eastAsia="Arial Unicode MS" w:cs="Arial Unicode MS"/>
      <w:kern w:val="0"/>
      <w:sz w:val="22"/>
      <w:lang w:val="zh-CN" w:bidi="zh-CN"/>
    </w:rPr>
  </w:style>
  <w:style w:type="paragraph" w:customStyle="1" w:styleId="37">
    <w:name w:val="三级条标题"/>
    <w:basedOn w:val="1"/>
    <w:qFormat/>
    <w:uiPriority w:val="0"/>
    <w:pPr>
      <w:numPr>
        <w:ilvl w:val="2"/>
        <w:numId w:val="3"/>
      </w:numPr>
    </w:pPr>
    <w:rPr>
      <w:rFonts w:hint="eastAsia"/>
      <w:b/>
      <w:bCs/>
      <w:szCs w:val="24"/>
    </w:rPr>
  </w:style>
  <w:style w:type="paragraph" w:customStyle="1" w:styleId="3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9">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0">
    <w:name w:val="1.1"/>
    <w:basedOn w:val="1"/>
    <w:qFormat/>
    <w:uiPriority w:val="0"/>
    <w:pPr>
      <w:numPr>
        <w:ilvl w:val="3"/>
        <w:numId w:val="4"/>
      </w:numPr>
    </w:pPr>
    <w:rPr>
      <w:rFonts w:hint="eastAsia"/>
      <w:szCs w:val="24"/>
    </w:rPr>
  </w:style>
  <w:style w:type="character" w:customStyle="1" w:styleId="41">
    <w:name w:val="font21"/>
    <w:basedOn w:val="17"/>
    <w:qFormat/>
    <w:uiPriority w:val="0"/>
    <w:rPr>
      <w:rFonts w:hint="eastAsia" w:ascii="宋体" w:hAnsi="宋体" w:eastAsia="宋体" w:cs="宋体"/>
      <w:color w:val="000000"/>
      <w:sz w:val="24"/>
      <w:szCs w:val="24"/>
      <w:u w:val="none"/>
    </w:rPr>
  </w:style>
  <w:style w:type="paragraph" w:customStyle="1" w:styleId="42">
    <w:name w:val="一级"/>
    <w:basedOn w:val="1"/>
    <w:qFormat/>
    <w:uiPriority w:val="0"/>
    <w:pPr>
      <w:numPr>
        <w:ilvl w:val="0"/>
        <w:numId w:val="5"/>
      </w:numPr>
      <w:spacing w:before="120" w:after="120" w:line="240" w:lineRule="auto"/>
      <w:ind w:firstLine="0" w:firstLineChars="0"/>
      <w:jc w:val="left"/>
    </w:pPr>
    <w:rPr>
      <w:rFonts w:eastAsia="宋体"/>
      <w:b/>
      <w:sz w:val="28"/>
      <w:szCs w:val="72"/>
    </w:rPr>
  </w:style>
  <w:style w:type="paragraph" w:customStyle="1" w:styleId="43">
    <w:name w:val="二级"/>
    <w:basedOn w:val="1"/>
    <w:qFormat/>
    <w:uiPriority w:val="0"/>
    <w:pPr>
      <w:ind w:firstLine="0" w:firstLineChars="0"/>
    </w:pPr>
    <w:rPr>
      <w:rFonts w:hint="eastAsia"/>
      <w:b/>
      <w:bCs/>
      <w:color w:val="000000" w:themeColor="text1"/>
      <w:szCs w:val="24"/>
      <w14:textFill>
        <w14:solidFill>
          <w14:schemeClr w14:val="tx1"/>
        </w14:solidFill>
      </w14:textFill>
    </w:rPr>
  </w:style>
  <w:style w:type="paragraph" w:customStyle="1" w:styleId="44">
    <w:name w:val="题目"/>
    <w:basedOn w:val="1"/>
    <w:qFormat/>
    <w:uiPriority w:val="0"/>
    <w:pPr>
      <w:ind w:firstLine="420"/>
      <w:jc w:val="center"/>
    </w:pPr>
    <w:rPr>
      <w:rFonts w:hint="eastAsia"/>
      <w:b/>
      <w:sz w:val="32"/>
      <w:szCs w:val="32"/>
    </w:rPr>
  </w:style>
  <w:style w:type="paragraph" w:customStyle="1" w:styleId="45">
    <w:name w:val="WPSOffice手动目录 1"/>
    <w:qFormat/>
    <w:uiPriority w:val="0"/>
    <w:rPr>
      <w:rFonts w:ascii="Times New Roman" w:hAnsi="Times New Roman" w:eastAsia="宋体" w:cs="Times New Roman"/>
      <w:lang w:val="en-US" w:eastAsia="zh-CN" w:bidi="ar-SA"/>
    </w:rPr>
  </w:style>
  <w:style w:type="paragraph" w:customStyle="1" w:styleId="4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47">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8">
    <w:name w:val="章标题"/>
    <w:next w:val="24"/>
    <w:qFormat/>
    <w:uiPriority w:val="0"/>
    <w:pPr>
      <w:numPr>
        <w:ilvl w:val="0"/>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49">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695A52-698C-4707-9ABD-5D03259C2C11}">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14</Pages>
  <Words>6734</Words>
  <Characters>8382</Characters>
  <Lines>63</Lines>
  <Paragraphs>17</Paragraphs>
  <TotalTime>1</TotalTime>
  <ScaleCrop>false</ScaleCrop>
  <LinksUpToDate>false</LinksUpToDate>
  <CharactersWithSpaces>8597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2020-10-26T05:53:00Z</dcterms:created>
  <dc:creator>renyun</dc:creator>
  <cp:lastModifiedBy>天平联盟</cp:lastModifiedBy>
  <cp:lastPrinted>2020-03-31T03:09:00Z</cp:lastPrinted>
  <dcterms:modified xsi:type="dcterms:W3CDTF">2023-06-30T01:31:47Z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89154F9DD0C54F6AB95F8A70FDC3EF5E_13</vt:lpwstr>
  </property>
</Properties>
</file>